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2D13A1"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C70AB2">
            <w:pPr>
              <w:spacing w:before="120" w:after="120"/>
              <w:rPr>
                <w:sz w:val="22"/>
              </w:rPr>
            </w:pPr>
            <w:r>
              <w:rPr>
                <w:b/>
                <w:color w:val="0000FF"/>
                <w:sz w:val="22"/>
              </w:rPr>
              <w:t>Tuesday</w:t>
            </w:r>
            <w:r w:rsidR="00B8339C">
              <w:rPr>
                <w:b/>
                <w:color w:val="0000FF"/>
                <w:sz w:val="22"/>
              </w:rPr>
              <w:t>, April 29</w:t>
            </w:r>
            <w:r w:rsidR="007F7613">
              <w:rPr>
                <w:b/>
                <w:color w:val="0000FF"/>
                <w:sz w:val="22"/>
              </w:rPr>
              <w:t>, 2014</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393568">
              <w:trPr>
                <w:trHeight w:val="305"/>
              </w:trPr>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B8339C" w:rsidRDefault="000466A2" w:rsidP="00EA4664">
                  <w:pPr>
                    <w:rPr>
                      <w:rFonts w:ascii="Times New Roman" w:hAnsi="Times New Roman"/>
                      <w:bCs/>
                      <w:color w:val="000000"/>
                    </w:rPr>
                  </w:pPr>
                  <w:r w:rsidRPr="00B8339C">
                    <w:rPr>
                      <w:rFonts w:ascii="Times New Roman" w:hAnsi="Times New Roman"/>
                      <w:bCs/>
                      <w:color w:val="000000"/>
                    </w:rPr>
                    <w:t>Mark Lancaster</w:t>
                  </w:r>
                  <w:r w:rsidR="00B8339C">
                    <w:rPr>
                      <w:rFonts w:ascii="Times New Roman" w:hAnsi="Times New Roman"/>
                      <w:bCs/>
                      <w:color w:val="000000"/>
                    </w:rPr>
                    <w:t xml:space="preserve">  </w:t>
                  </w:r>
                  <w:r w:rsidR="00B8339C" w:rsidRPr="00B8339C">
                    <w:rPr>
                      <w:rFonts w:ascii="Times New Roman" w:hAnsi="Times New Roman"/>
                      <w:b/>
                      <w:bCs/>
                      <w:color w:val="000000"/>
                    </w:rPr>
                    <w:t>(Raymond Bell</w:t>
                  </w:r>
                  <w:r w:rsidR="00B8339C">
                    <w:rPr>
                      <w:rFonts w:ascii="Times New Roman" w:hAnsi="Times New Roman"/>
                      <w:b/>
                      <w:bCs/>
                      <w:color w:val="000000"/>
                    </w:rPr>
                    <w:t>, in for Mark, representing AT&amp;T</w:t>
                  </w:r>
                  <w:r w:rsidR="00B8339C" w:rsidRPr="00B8339C">
                    <w:rPr>
                      <w:rFonts w:ascii="Times New Roman" w:hAnsi="Times New Roman"/>
                      <w:b/>
                      <w:bCs/>
                      <w:color w:val="000000"/>
                    </w:rPr>
                    <w:t>)</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FD585F" w:rsidRDefault="00AA282F">
                  <w:pPr>
                    <w:rPr>
                      <w:rFonts w:ascii="Times New Roman" w:hAnsi="Times New Roman"/>
                      <w:b/>
                      <w:color w:val="000000"/>
                    </w:rPr>
                  </w:pPr>
                  <w:r w:rsidRPr="00FD585F">
                    <w:rPr>
                      <w:rFonts w:ascii="Times New Roman" w:hAnsi="Times New Roman"/>
                      <w:b/>
                      <w:color w:val="000000"/>
                    </w:rPr>
                    <w:t>Mary Retka</w:t>
                  </w:r>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7F7613" w:rsidRDefault="00AA282F">
                  <w:pPr>
                    <w:rPr>
                      <w:rFonts w:ascii="Times New Roman" w:hAnsi="Times New Roman"/>
                      <w:b/>
                      <w:bCs/>
                      <w:color w:val="000000"/>
                    </w:rPr>
                  </w:pPr>
                  <w:r w:rsidRPr="007F7613">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F54000" w:rsidRDefault="00825B19" w:rsidP="006D7F11">
                  <w:pPr>
                    <w:rPr>
                      <w:rFonts w:ascii="Times New Roman" w:hAnsi="Times New Roman"/>
                      <w:color w:val="000000"/>
                    </w:rPr>
                  </w:pPr>
                  <w:r w:rsidRPr="00F54000">
                    <w:rPr>
                      <w:rFonts w:ascii="Times New Roman" w:hAnsi="Times New Roman"/>
                      <w:b/>
                      <w:color w:val="000000"/>
                    </w:rPr>
                    <w:t>Rosemary Emmer</w:t>
                  </w:r>
                  <w:r w:rsidRPr="00F54000">
                    <w:rPr>
                      <w:rFonts w:ascii="Times New Roman" w:hAnsi="Times New Roman"/>
                      <w:color w:val="000000"/>
                    </w:rPr>
                    <w:t xml:space="preserve">, </w:t>
                  </w:r>
                  <w:r w:rsidRPr="00B8339C">
                    <w:rPr>
                      <w:rFonts w:ascii="Times New Roman" w:hAnsi="Times New Roman"/>
                      <w:color w:val="000000"/>
                    </w:rPr>
                    <w:t>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B8339C" w:rsidRDefault="0076615C" w:rsidP="006D7F11">
                  <w:pPr>
                    <w:rPr>
                      <w:rFonts w:ascii="Times New Roman" w:hAnsi="Times New Roman"/>
                      <w:b/>
                      <w:color w:val="000000"/>
                    </w:rPr>
                  </w:pPr>
                  <w:r w:rsidRPr="00B8339C">
                    <w:rPr>
                      <w:rFonts w:ascii="Times New Roman" w:hAnsi="Times New Roman"/>
                      <w:b/>
                      <w:color w:val="000000" w:themeColor="text1"/>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AC57BE" w:rsidRDefault="00825B19">
                  <w:pPr>
                    <w:rPr>
                      <w:rFonts w:ascii="Times New Roman" w:hAnsi="Times New Roman"/>
                      <w:b/>
                      <w:bCs/>
                      <w:color w:val="000000"/>
                    </w:rPr>
                  </w:pPr>
                  <w:r w:rsidRPr="00AC57BE">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F54000" w:rsidRDefault="00825B19">
                  <w:pPr>
                    <w:pStyle w:val="BodyText2"/>
                    <w:rPr>
                      <w:bCs/>
                      <w:color w:val="000000"/>
                      <w:sz w:val="20"/>
                    </w:rPr>
                  </w:pPr>
                  <w:r w:rsidRPr="00F54000">
                    <w:rPr>
                      <w:bCs/>
                      <w:color w:val="000000"/>
                      <w:sz w:val="20"/>
                    </w:rPr>
                    <w:t xml:space="preserve">Ann Stevens, </w:t>
                  </w:r>
                  <w:r w:rsidRPr="00653418">
                    <w:rPr>
                      <w:bCs/>
                      <w:color w:val="000000"/>
                      <w:sz w:val="20"/>
                    </w:rPr>
                    <w:t xml:space="preserve">Gary </w:t>
                  </w:r>
                  <w:proofErr w:type="spellStart"/>
                  <w:r w:rsidRPr="00653418">
                    <w:rPr>
                      <w:bCs/>
                      <w:color w:val="000000"/>
                      <w:sz w:val="20"/>
                    </w:rPr>
                    <w:t>Remondino</w:t>
                  </w:r>
                  <w:proofErr w:type="spellEnd"/>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F54000" w:rsidRDefault="00825B19" w:rsidP="007C76DD">
                  <w:pPr>
                    <w:pStyle w:val="BodyText2"/>
                    <w:rPr>
                      <w:bCs/>
                      <w:color w:val="000000"/>
                      <w:sz w:val="20"/>
                    </w:rPr>
                  </w:pPr>
                  <w:r w:rsidRPr="00F54000">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F54000" w:rsidRDefault="00825B19">
                  <w:pPr>
                    <w:pStyle w:val="BodyText2"/>
                    <w:rPr>
                      <w:bCs/>
                      <w:color w:val="000000"/>
                      <w:sz w:val="20"/>
                    </w:rPr>
                  </w:pPr>
                  <w:r w:rsidRPr="00B8339C">
                    <w:rPr>
                      <w:color w:val="000000"/>
                      <w:sz w:val="20"/>
                    </w:rPr>
                    <w:t xml:space="preserve">Faith </w:t>
                  </w:r>
                  <w:proofErr w:type="spellStart"/>
                  <w:r w:rsidRPr="00B8339C">
                    <w:rPr>
                      <w:color w:val="000000"/>
                      <w:sz w:val="20"/>
                    </w:rPr>
                    <w:t>Marcott</w:t>
                  </w:r>
                  <w:proofErr w:type="spellEnd"/>
                  <w:r w:rsidRPr="00B8339C">
                    <w:rPr>
                      <w:color w:val="000000"/>
                      <w:sz w:val="20"/>
                    </w:rPr>
                    <w:t>,</w:t>
                  </w:r>
                  <w:r w:rsidRPr="00F54000">
                    <w:rPr>
                      <w:color w:val="000000"/>
                      <w:sz w:val="20"/>
                    </w:rPr>
                    <w:t xml:space="preserve"> </w:t>
                  </w:r>
                  <w:r w:rsidRPr="00F54000">
                    <w:rPr>
                      <w:bCs/>
                      <w:color w:val="000000"/>
                      <w:sz w:val="20"/>
                    </w:rPr>
                    <w:t xml:space="preserve">Garth Steele, </w:t>
                  </w:r>
                  <w:r w:rsidRPr="00ED54C8">
                    <w:rPr>
                      <w:b/>
                      <w:bCs/>
                      <w:color w:val="000000"/>
                      <w:sz w:val="20"/>
                    </w:rPr>
                    <w:t xml:space="preserve">Heather </w:t>
                  </w:r>
                  <w:proofErr w:type="spellStart"/>
                  <w:r w:rsidRPr="00ED54C8">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lastRenderedPageBreak/>
              <w:t>Proposed Agenda:</w:t>
            </w:r>
          </w:p>
          <w:p w:rsidR="008F734B" w:rsidRDefault="008F734B" w:rsidP="008F734B">
            <w:r>
              <w:rPr>
                <w:rFonts w:ascii="Arial" w:hAnsi="Arial" w:cs="Arial"/>
                <w:b/>
                <w:bCs/>
                <w:color w:val="FF0000"/>
              </w:rPr>
              <w:t> </w:t>
            </w:r>
          </w:p>
          <w:p w:rsidR="00B8339C" w:rsidRDefault="00B8339C" w:rsidP="00B8339C">
            <w:pPr>
              <w:rPr>
                <w:rFonts w:ascii="Arial" w:hAnsi="Arial" w:cs="Arial"/>
                <w:b/>
                <w:bCs/>
                <w:color w:val="FF0000"/>
              </w:rPr>
            </w:pPr>
            <w:r>
              <w:rPr>
                <w:rFonts w:ascii="Arial" w:hAnsi="Arial" w:cs="Arial"/>
                <w:b/>
                <w:bCs/>
                <w:color w:val="FF0000"/>
              </w:rPr>
              <w:t>Open Portion:</w:t>
            </w:r>
          </w:p>
          <w:p w:rsidR="00B8339C" w:rsidRDefault="00B8339C" w:rsidP="00B8339C">
            <w:pPr>
              <w:rPr>
                <w:rFonts w:ascii="Arial" w:hAnsi="Arial" w:cs="Arial"/>
                <w:b/>
                <w:bCs/>
                <w:color w:val="FF0000"/>
                <w:sz w:val="22"/>
                <w:szCs w:val="22"/>
              </w:rPr>
            </w:pPr>
          </w:p>
          <w:p w:rsidR="00B8339C" w:rsidRDefault="00B8339C" w:rsidP="007134BA">
            <w:pPr>
              <w:pStyle w:val="ListParagraph"/>
              <w:numPr>
                <w:ilvl w:val="0"/>
                <w:numId w:val="31"/>
              </w:numPr>
              <w:rPr>
                <w:rFonts w:ascii="Arial" w:hAnsi="Arial" w:cs="Arial"/>
              </w:rPr>
            </w:pPr>
            <w:r>
              <w:rPr>
                <w:rFonts w:ascii="Arial" w:hAnsi="Arial" w:cs="Arial"/>
              </w:rPr>
              <w:t>Introductions</w:t>
            </w:r>
          </w:p>
          <w:p w:rsidR="00B8339C" w:rsidRDefault="00B8339C" w:rsidP="007134BA">
            <w:pPr>
              <w:pStyle w:val="ListParagraph"/>
              <w:numPr>
                <w:ilvl w:val="0"/>
                <w:numId w:val="31"/>
              </w:numPr>
              <w:rPr>
                <w:rFonts w:ascii="Arial" w:hAnsi="Arial" w:cs="Arial"/>
              </w:rPr>
            </w:pPr>
            <w:r w:rsidRPr="00B6341B">
              <w:rPr>
                <w:rFonts w:ascii="Arial" w:hAnsi="Arial" w:cs="Arial"/>
              </w:rPr>
              <w:t xml:space="preserve">Approve </w:t>
            </w:r>
            <w:r>
              <w:rPr>
                <w:rFonts w:ascii="Arial" w:hAnsi="Arial" w:cs="Arial"/>
              </w:rPr>
              <w:t>February 25 and March 21, 2014</w:t>
            </w:r>
            <w:r w:rsidRPr="00B6341B">
              <w:rPr>
                <w:rFonts w:ascii="Arial" w:hAnsi="Arial" w:cs="Arial"/>
              </w:rPr>
              <w:t xml:space="preserve"> meeting notes</w:t>
            </w:r>
          </w:p>
          <w:p w:rsidR="00B8339C" w:rsidRDefault="00B8339C" w:rsidP="007134BA">
            <w:pPr>
              <w:pStyle w:val="ListParagraph"/>
              <w:numPr>
                <w:ilvl w:val="0"/>
                <w:numId w:val="31"/>
              </w:numPr>
              <w:rPr>
                <w:rFonts w:ascii="Arial" w:hAnsi="Arial" w:cs="Arial"/>
              </w:rPr>
            </w:pPr>
            <w:r>
              <w:rPr>
                <w:rFonts w:ascii="Arial" w:hAnsi="Arial" w:cs="Arial"/>
              </w:rPr>
              <w:t>Discuss moving of the funding year (Heather sent out white paper)</w:t>
            </w:r>
          </w:p>
          <w:p w:rsidR="00B8339C" w:rsidRDefault="00B8339C" w:rsidP="007134BA">
            <w:pPr>
              <w:pStyle w:val="ListParagraph"/>
              <w:numPr>
                <w:ilvl w:val="0"/>
                <w:numId w:val="31"/>
              </w:numPr>
              <w:rPr>
                <w:rFonts w:ascii="Arial" w:hAnsi="Arial" w:cs="Arial"/>
              </w:rPr>
            </w:pPr>
            <w:r>
              <w:rPr>
                <w:rFonts w:ascii="Arial" w:hAnsi="Arial" w:cs="Arial"/>
              </w:rPr>
              <w:t>Review March</w:t>
            </w:r>
            <w:r w:rsidRPr="00B6341B">
              <w:rPr>
                <w:rFonts w:ascii="Arial" w:hAnsi="Arial" w:cs="Arial"/>
              </w:rPr>
              <w:t xml:space="preserve"> NANP Report (Welch)</w:t>
            </w:r>
          </w:p>
          <w:p w:rsidR="00B8339C" w:rsidRDefault="00B8339C" w:rsidP="007134BA">
            <w:pPr>
              <w:pStyle w:val="ListParagraph"/>
              <w:numPr>
                <w:ilvl w:val="0"/>
                <w:numId w:val="31"/>
              </w:numPr>
              <w:rPr>
                <w:rFonts w:ascii="Arial" w:hAnsi="Arial" w:cs="Arial"/>
              </w:rPr>
            </w:pPr>
            <w:r>
              <w:rPr>
                <w:rFonts w:ascii="Arial" w:hAnsi="Arial" w:cs="Arial"/>
              </w:rPr>
              <w:t>Discuss FCC Trial Order as it relates to this group</w:t>
            </w:r>
            <w:r w:rsidR="008340F9">
              <w:rPr>
                <w:rFonts w:ascii="Arial" w:hAnsi="Arial" w:cs="Arial"/>
              </w:rPr>
              <w:t xml:space="preserve"> (n/a)</w:t>
            </w:r>
          </w:p>
          <w:p w:rsidR="00B8339C" w:rsidRPr="00B6341B" w:rsidRDefault="00B8339C" w:rsidP="007134BA">
            <w:pPr>
              <w:pStyle w:val="ListParagraph"/>
              <w:numPr>
                <w:ilvl w:val="0"/>
                <w:numId w:val="31"/>
              </w:numPr>
              <w:rPr>
                <w:rFonts w:ascii="Arial" w:hAnsi="Arial" w:cs="Arial"/>
              </w:rPr>
            </w:pPr>
            <w:r>
              <w:rPr>
                <w:rFonts w:ascii="Arial" w:hAnsi="Arial" w:cs="Arial"/>
              </w:rPr>
              <w:t>Discuss Budget and Contribution Factor</w:t>
            </w:r>
            <w:r w:rsidR="008340F9">
              <w:rPr>
                <w:rFonts w:ascii="Arial" w:hAnsi="Arial" w:cs="Arial"/>
              </w:rPr>
              <w:t xml:space="preserve"> (n/a – as revenue numbers are in – see below)</w:t>
            </w:r>
          </w:p>
          <w:p w:rsidR="00B8339C" w:rsidRDefault="00B8339C" w:rsidP="00B8339C">
            <w:pPr>
              <w:ind w:left="360"/>
              <w:rPr>
                <w:rFonts w:ascii="Arial" w:hAnsi="Arial" w:cs="Arial"/>
              </w:rPr>
            </w:pPr>
          </w:p>
          <w:p w:rsidR="00B8339C" w:rsidRDefault="00B8339C" w:rsidP="00B8339C">
            <w:pPr>
              <w:rPr>
                <w:rFonts w:ascii="Arial" w:hAnsi="Arial" w:cs="Arial"/>
                <w:b/>
                <w:bCs/>
              </w:rPr>
            </w:pPr>
          </w:p>
          <w:p w:rsidR="00B8339C" w:rsidRDefault="00B8339C" w:rsidP="00B8339C">
            <w:pPr>
              <w:rPr>
                <w:rFonts w:ascii="Arial" w:hAnsi="Arial" w:cs="Arial"/>
                <w:b/>
                <w:bCs/>
                <w:color w:val="FF0000"/>
              </w:rPr>
            </w:pPr>
            <w:r>
              <w:rPr>
                <w:rFonts w:ascii="Arial" w:hAnsi="Arial" w:cs="Arial"/>
                <w:b/>
                <w:bCs/>
                <w:color w:val="FF0000"/>
              </w:rPr>
              <w:t>Closed Portion:</w:t>
            </w:r>
          </w:p>
          <w:p w:rsidR="00B8339C" w:rsidRDefault="00B8339C" w:rsidP="00B8339C">
            <w:pPr>
              <w:rPr>
                <w:rFonts w:ascii="Arial" w:hAnsi="Arial" w:cs="Arial"/>
                <w:b/>
                <w:bCs/>
                <w:color w:val="FF0000"/>
              </w:rPr>
            </w:pPr>
          </w:p>
          <w:p w:rsidR="00B8339C" w:rsidRDefault="00B8339C" w:rsidP="007134BA">
            <w:pPr>
              <w:pStyle w:val="ListParagraph"/>
              <w:numPr>
                <w:ilvl w:val="0"/>
                <w:numId w:val="31"/>
              </w:numPr>
              <w:rPr>
                <w:rFonts w:ascii="Arial" w:hAnsi="Arial" w:cs="Arial"/>
              </w:rPr>
            </w:pPr>
            <w:r>
              <w:rPr>
                <w:rFonts w:ascii="Arial" w:hAnsi="Arial" w:cs="Arial"/>
              </w:rPr>
              <w:t xml:space="preserve">Deliverable Doc </w:t>
            </w:r>
          </w:p>
          <w:p w:rsidR="008F734B" w:rsidRDefault="008F734B" w:rsidP="008F734B">
            <w:r>
              <w:rPr>
                <w:rFonts w:ascii="Arial" w:hAnsi="Arial" w:cs="Arial"/>
                <w:b/>
                <w:bCs/>
              </w:rPr>
              <w:t> </w:t>
            </w:r>
          </w:p>
          <w:p w:rsidR="00787237" w:rsidRDefault="00233777" w:rsidP="00787237">
            <w:pPr>
              <w:rPr>
                <w:rFonts w:ascii="Arial" w:eastAsiaTheme="minorHAnsi" w:hAnsi="Arial" w:cs="Arial"/>
                <w:b/>
                <w:color w:val="FF0000"/>
              </w:rPr>
            </w:pPr>
            <w:r w:rsidRPr="00233777">
              <w:rPr>
                <w:rFonts w:ascii="Arial" w:eastAsiaTheme="minorHAnsi" w:hAnsi="Arial" w:cs="Arial"/>
                <w:b/>
                <w:color w:val="FF0000"/>
              </w:rPr>
              <w:t>Discussion:</w:t>
            </w:r>
          </w:p>
          <w:p w:rsidR="00C671B0" w:rsidRDefault="00C671B0" w:rsidP="00787237">
            <w:pPr>
              <w:rPr>
                <w:rFonts w:ascii="Arial" w:eastAsiaTheme="minorHAnsi" w:hAnsi="Arial" w:cs="Arial"/>
                <w:b/>
                <w:color w:val="FF0000"/>
              </w:rPr>
            </w:pPr>
          </w:p>
          <w:p w:rsidR="00C671B0" w:rsidRDefault="008C0D92" w:rsidP="007134BA">
            <w:pPr>
              <w:pStyle w:val="ListParagraph"/>
              <w:numPr>
                <w:ilvl w:val="0"/>
                <w:numId w:val="31"/>
              </w:numPr>
              <w:rPr>
                <w:rFonts w:ascii="Arial" w:eastAsiaTheme="minorHAnsi" w:hAnsi="Arial" w:cs="Arial"/>
              </w:rPr>
            </w:pPr>
            <w:r>
              <w:rPr>
                <w:rFonts w:ascii="Arial" w:eastAsiaTheme="minorHAnsi" w:hAnsi="Arial" w:cs="Arial"/>
              </w:rPr>
              <w:t xml:space="preserve">Agenda Approved </w:t>
            </w:r>
          </w:p>
          <w:p w:rsidR="007134BA" w:rsidRDefault="007134BA" w:rsidP="007134BA">
            <w:pPr>
              <w:pStyle w:val="ListParagraph"/>
              <w:numPr>
                <w:ilvl w:val="0"/>
                <w:numId w:val="31"/>
              </w:numPr>
              <w:rPr>
                <w:rFonts w:ascii="Arial" w:hAnsi="Arial" w:cs="Arial"/>
              </w:rPr>
            </w:pPr>
            <w:r>
              <w:rPr>
                <w:rFonts w:ascii="Arial" w:hAnsi="Arial" w:cs="Arial"/>
              </w:rPr>
              <w:t>Raymond Bell – sitting in for Mark from AT&amp;T – Mary Retka Overview of B&amp;C WG</w:t>
            </w:r>
          </w:p>
          <w:p w:rsidR="007134BA" w:rsidRDefault="007134BA" w:rsidP="007134BA">
            <w:pPr>
              <w:pStyle w:val="ListParagraph"/>
              <w:numPr>
                <w:ilvl w:val="0"/>
                <w:numId w:val="31"/>
              </w:numPr>
              <w:rPr>
                <w:rFonts w:ascii="Arial" w:eastAsiaTheme="minorHAnsi" w:hAnsi="Arial" w:cs="Arial"/>
              </w:rPr>
            </w:pPr>
            <w:r>
              <w:rPr>
                <w:rFonts w:ascii="Arial" w:eastAsiaTheme="minorHAnsi" w:hAnsi="Arial" w:cs="Arial"/>
              </w:rPr>
              <w:t>Funding Discussion (below)</w:t>
            </w:r>
          </w:p>
          <w:p w:rsidR="008C0D92" w:rsidRDefault="008C0D92" w:rsidP="007134BA">
            <w:pPr>
              <w:pStyle w:val="ListParagraph"/>
              <w:numPr>
                <w:ilvl w:val="0"/>
                <w:numId w:val="31"/>
              </w:numPr>
              <w:rPr>
                <w:rFonts w:ascii="Arial" w:eastAsiaTheme="minorHAnsi" w:hAnsi="Arial" w:cs="Arial"/>
              </w:rPr>
            </w:pPr>
            <w:r>
              <w:rPr>
                <w:rFonts w:ascii="Arial" w:eastAsiaTheme="minorHAnsi" w:hAnsi="Arial" w:cs="Arial"/>
              </w:rPr>
              <w:t xml:space="preserve">February </w:t>
            </w:r>
            <w:r w:rsidR="007134BA">
              <w:rPr>
                <w:rFonts w:ascii="Arial" w:eastAsiaTheme="minorHAnsi" w:hAnsi="Arial" w:cs="Arial"/>
              </w:rPr>
              <w:t xml:space="preserve">and March meeting notes approved </w:t>
            </w:r>
            <w:r>
              <w:rPr>
                <w:rFonts w:ascii="Arial" w:eastAsiaTheme="minorHAnsi" w:hAnsi="Arial" w:cs="Arial"/>
              </w:rPr>
              <w:t>meeting notes</w:t>
            </w:r>
          </w:p>
          <w:p w:rsidR="008C0D92" w:rsidRDefault="008C0D92" w:rsidP="007134BA">
            <w:pPr>
              <w:pStyle w:val="ListParagraph"/>
              <w:numPr>
                <w:ilvl w:val="0"/>
                <w:numId w:val="31"/>
              </w:numPr>
              <w:rPr>
                <w:rFonts w:ascii="Arial" w:eastAsiaTheme="minorHAnsi" w:hAnsi="Arial" w:cs="Arial"/>
              </w:rPr>
            </w:pPr>
            <w:r>
              <w:rPr>
                <w:rFonts w:ascii="Arial" w:eastAsiaTheme="minorHAnsi" w:hAnsi="Arial" w:cs="Arial"/>
              </w:rPr>
              <w:t>N</w:t>
            </w:r>
            <w:r w:rsidR="007134BA">
              <w:rPr>
                <w:rFonts w:ascii="Arial" w:eastAsiaTheme="minorHAnsi" w:hAnsi="Arial" w:cs="Arial"/>
              </w:rPr>
              <w:t>ANP report – March</w:t>
            </w:r>
          </w:p>
          <w:p w:rsidR="00764625" w:rsidRDefault="00764625" w:rsidP="007134BA">
            <w:pPr>
              <w:pStyle w:val="ListParagraph"/>
              <w:numPr>
                <w:ilvl w:val="0"/>
                <w:numId w:val="31"/>
              </w:numPr>
              <w:rPr>
                <w:rFonts w:ascii="Arial" w:eastAsiaTheme="minorHAnsi" w:hAnsi="Arial" w:cs="Arial"/>
              </w:rPr>
            </w:pPr>
            <w:r>
              <w:rPr>
                <w:rFonts w:ascii="Arial" w:eastAsiaTheme="minorHAnsi" w:hAnsi="Arial" w:cs="Arial"/>
              </w:rPr>
              <w:t>Proposed funding year discussion (below)</w:t>
            </w:r>
          </w:p>
          <w:p w:rsidR="00764625" w:rsidRPr="008340F9" w:rsidRDefault="008340F9" w:rsidP="008340F9">
            <w:pPr>
              <w:pStyle w:val="ListParagraph"/>
              <w:numPr>
                <w:ilvl w:val="0"/>
                <w:numId w:val="31"/>
              </w:numPr>
              <w:rPr>
                <w:rFonts w:ascii="Arial" w:eastAsiaTheme="minorHAnsi" w:hAnsi="Arial" w:cs="Arial"/>
              </w:rPr>
            </w:pPr>
            <w:r w:rsidRPr="008340F9">
              <w:rPr>
                <w:rFonts w:ascii="Arial" w:eastAsiaTheme="minorHAnsi" w:hAnsi="Arial" w:cs="Arial"/>
              </w:rPr>
              <w:t>The contract expired October 1, 2009. Welch LLP received an 8 month interim contract which includes a 2 month transition which will cover the period from December 1, 2013 to July 31, 2014</w:t>
            </w:r>
          </w:p>
          <w:p w:rsidR="004F20B4" w:rsidRDefault="00764625" w:rsidP="008340F9">
            <w:pPr>
              <w:pStyle w:val="ListParagraph"/>
              <w:rPr>
                <w:rFonts w:ascii="Arial" w:eastAsiaTheme="minorHAnsi" w:hAnsi="Arial" w:cs="Arial"/>
              </w:rPr>
            </w:pPr>
            <w:r>
              <w:rPr>
                <w:rFonts w:ascii="Arial" w:eastAsiaTheme="minorHAnsi" w:hAnsi="Arial" w:cs="Arial"/>
              </w:rPr>
              <w:t xml:space="preserve"> </w:t>
            </w:r>
          </w:p>
          <w:p w:rsidR="00DE30E5" w:rsidRDefault="00764625" w:rsidP="00DE30E5">
            <w:pPr>
              <w:pStyle w:val="TableText"/>
              <w:tabs>
                <w:tab w:val="left" w:pos="0"/>
                <w:tab w:val="left" w:pos="90"/>
              </w:tabs>
              <w:spacing w:before="120" w:after="40"/>
              <w:rPr>
                <w:sz w:val="22"/>
              </w:rPr>
            </w:pPr>
            <w:r>
              <w:rPr>
                <w:sz w:val="22"/>
              </w:rPr>
              <w:t xml:space="preserve"> </w:t>
            </w:r>
          </w:p>
          <w:p w:rsidR="0027169F" w:rsidRDefault="0027169F"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B8339C" w:rsidRDefault="00B8339C" w:rsidP="00AC254D">
            <w:pPr>
              <w:pStyle w:val="TableText"/>
              <w:numPr>
                <w:ilvl w:val="0"/>
                <w:numId w:val="2"/>
              </w:numPr>
              <w:tabs>
                <w:tab w:val="left" w:pos="0"/>
                <w:tab w:val="left" w:pos="90"/>
              </w:tabs>
              <w:spacing w:before="120" w:after="40"/>
              <w:rPr>
                <w:sz w:val="22"/>
              </w:rPr>
            </w:pPr>
            <w:r>
              <w:rPr>
                <w:sz w:val="22"/>
              </w:rPr>
              <w:t>February and March meeting notes approved.</w:t>
            </w:r>
          </w:p>
          <w:p w:rsidR="004761BF" w:rsidRDefault="00B8339C" w:rsidP="00AC254D">
            <w:pPr>
              <w:pStyle w:val="TableText"/>
              <w:numPr>
                <w:ilvl w:val="0"/>
                <w:numId w:val="2"/>
              </w:numPr>
              <w:tabs>
                <w:tab w:val="left" w:pos="0"/>
                <w:tab w:val="left" w:pos="90"/>
              </w:tabs>
              <w:spacing w:before="120" w:after="40"/>
              <w:rPr>
                <w:sz w:val="22"/>
              </w:rPr>
            </w:pPr>
            <w:r>
              <w:rPr>
                <w:sz w:val="22"/>
              </w:rPr>
              <w:t xml:space="preserve">Rosemary </w:t>
            </w:r>
            <w:proofErr w:type="gramStart"/>
            <w:r>
              <w:rPr>
                <w:sz w:val="22"/>
              </w:rPr>
              <w:t>send</w:t>
            </w:r>
            <w:proofErr w:type="gramEnd"/>
            <w:r>
              <w:rPr>
                <w:sz w:val="22"/>
              </w:rPr>
              <w:t xml:space="preserve"> meeting notes to John Manning for NANC Chair posting</w:t>
            </w:r>
            <w:r w:rsidR="008C0D92">
              <w:rPr>
                <w:sz w:val="22"/>
              </w:rPr>
              <w:t>.</w:t>
            </w:r>
          </w:p>
          <w:p w:rsidR="007134BA" w:rsidRDefault="007134BA" w:rsidP="00AC254D">
            <w:pPr>
              <w:pStyle w:val="TableText"/>
              <w:numPr>
                <w:ilvl w:val="0"/>
                <w:numId w:val="2"/>
              </w:numPr>
              <w:tabs>
                <w:tab w:val="left" w:pos="0"/>
                <w:tab w:val="left" w:pos="90"/>
              </w:tabs>
              <w:spacing w:before="120" w:after="40"/>
              <w:rPr>
                <w:sz w:val="22"/>
              </w:rPr>
            </w:pPr>
            <w:r>
              <w:rPr>
                <w:sz w:val="22"/>
              </w:rPr>
              <w:t>Rosemary and Tim to come up with the language for the plan to move the funding period. Rosemary to send Tim draft language.</w:t>
            </w:r>
          </w:p>
          <w:p w:rsidR="00A373C6" w:rsidRDefault="00A373C6" w:rsidP="00A373C6">
            <w:pPr>
              <w:pStyle w:val="TableText"/>
              <w:tabs>
                <w:tab w:val="left" w:pos="0"/>
                <w:tab w:val="left" w:pos="90"/>
              </w:tabs>
              <w:spacing w:before="120" w:after="40"/>
              <w:ind w:left="720"/>
              <w:rPr>
                <w:sz w:val="22"/>
              </w:rPr>
            </w:pPr>
          </w:p>
          <w:p w:rsidR="0027169F" w:rsidRDefault="0027169F" w:rsidP="00A373C6">
            <w:pPr>
              <w:pStyle w:val="TableText"/>
              <w:tabs>
                <w:tab w:val="left" w:pos="0"/>
                <w:tab w:val="left" w:pos="90"/>
              </w:tabs>
              <w:spacing w:before="120" w:after="40"/>
              <w:ind w:left="720"/>
              <w:rPr>
                <w:sz w:val="22"/>
              </w:rPr>
            </w:pPr>
          </w:p>
          <w:p w:rsidR="003B74EF" w:rsidRDefault="003B74EF" w:rsidP="00BF18F3">
            <w:pPr>
              <w:pStyle w:val="TableText"/>
              <w:tabs>
                <w:tab w:val="left" w:pos="0"/>
                <w:tab w:val="left" w:pos="90"/>
              </w:tabs>
              <w:spacing w:before="120" w:after="40"/>
              <w:ind w:left="720"/>
              <w:rPr>
                <w:sz w:val="22"/>
              </w:rPr>
            </w:pPr>
          </w:p>
          <w:p w:rsidR="000A3E8E" w:rsidRDefault="000A3E8E" w:rsidP="00A21D65">
            <w:pPr>
              <w:pStyle w:val="TableText"/>
              <w:tabs>
                <w:tab w:val="left" w:pos="0"/>
                <w:tab w:val="left" w:pos="90"/>
              </w:tabs>
              <w:spacing w:before="120" w:after="40"/>
              <w:ind w:left="720"/>
              <w:rPr>
                <w:sz w:val="22"/>
              </w:rPr>
            </w:pPr>
          </w:p>
        </w:tc>
      </w:tr>
    </w:tbl>
    <w:p w:rsidR="0031673D" w:rsidRDefault="0031673D">
      <w:r>
        <w:br w:type="page"/>
      </w: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70"/>
        <w:gridCol w:w="1800"/>
      </w:tblGrid>
      <w:tr w:rsidR="00D446B8" w:rsidTr="00BE1D5F">
        <w:trPr>
          <w:cantSplit/>
        </w:trPr>
        <w:tc>
          <w:tcPr>
            <w:tcW w:w="10170" w:type="dxa"/>
            <w:gridSpan w:val="2"/>
            <w:tcBorders>
              <w:top w:val="single" w:sz="6" w:space="0" w:color="auto"/>
              <w:bottom w:val="single" w:sz="6" w:space="0" w:color="auto"/>
            </w:tcBorders>
          </w:tcPr>
          <w:p w:rsidR="007F5F92" w:rsidRPr="00044EE8" w:rsidRDefault="007F5F92" w:rsidP="008340F9">
            <w:pPr>
              <w:autoSpaceDE w:val="0"/>
              <w:autoSpaceDN w:val="0"/>
              <w:adjustRightInd w:val="0"/>
              <w:jc w:val="center"/>
              <w:rPr>
                <w:rFonts w:ascii="Arial" w:hAnsi="Arial" w:cs="Arial"/>
                <w:b/>
                <w:sz w:val="24"/>
                <w:szCs w:val="24"/>
              </w:rPr>
            </w:pPr>
            <w:bookmarkStart w:id="0" w:name="_GoBack"/>
            <w:bookmarkEnd w:id="0"/>
            <w:r w:rsidRPr="00044EE8">
              <w:rPr>
                <w:rFonts w:ascii="Arial" w:hAnsi="Arial" w:cs="Arial"/>
                <w:b/>
                <w:sz w:val="24"/>
                <w:szCs w:val="24"/>
              </w:rPr>
              <w:lastRenderedPageBreak/>
              <w:t>Budget and Contribution Factor</w:t>
            </w:r>
          </w:p>
          <w:p w:rsidR="007F5F92" w:rsidRPr="008340F9" w:rsidRDefault="007F5F92" w:rsidP="007F5F92">
            <w:pPr>
              <w:autoSpaceDE w:val="0"/>
              <w:autoSpaceDN w:val="0"/>
              <w:adjustRightInd w:val="0"/>
              <w:rPr>
                <w:rFonts w:ascii="Arial" w:hAnsi="Arial" w:cs="Arial"/>
              </w:rPr>
            </w:pPr>
          </w:p>
          <w:p w:rsidR="008340F9" w:rsidRDefault="007F5F92" w:rsidP="008340F9">
            <w:pPr>
              <w:pStyle w:val="ListParagraph"/>
              <w:numPr>
                <w:ilvl w:val="0"/>
                <w:numId w:val="39"/>
              </w:numPr>
              <w:autoSpaceDE w:val="0"/>
              <w:autoSpaceDN w:val="0"/>
              <w:adjustRightInd w:val="0"/>
              <w:rPr>
                <w:rFonts w:ascii="Arial" w:hAnsi="Arial" w:cs="Arial"/>
              </w:rPr>
            </w:pPr>
            <w:r w:rsidRPr="008340F9">
              <w:rPr>
                <w:rFonts w:ascii="Arial" w:hAnsi="Arial" w:cs="Arial"/>
              </w:rPr>
              <w:t xml:space="preserve">Based on the revenue numbers coming in from USAC, it looks like our budget is predicted to be about 25,000 more than we planned. </w:t>
            </w:r>
          </w:p>
          <w:p w:rsidR="008340F9" w:rsidRDefault="00044EE8" w:rsidP="008340F9">
            <w:pPr>
              <w:pStyle w:val="ListParagraph"/>
              <w:numPr>
                <w:ilvl w:val="0"/>
                <w:numId w:val="39"/>
              </w:numPr>
              <w:autoSpaceDE w:val="0"/>
              <w:autoSpaceDN w:val="0"/>
              <w:adjustRightInd w:val="0"/>
              <w:rPr>
                <w:rFonts w:ascii="Arial" w:hAnsi="Arial" w:cs="Arial"/>
              </w:rPr>
            </w:pPr>
            <w:r>
              <w:rPr>
                <w:rFonts w:ascii="Arial" w:hAnsi="Arial" w:cs="Arial"/>
              </w:rPr>
              <w:t xml:space="preserve">This could change </w:t>
            </w:r>
            <w:r w:rsidR="007F5F92" w:rsidRPr="008340F9">
              <w:rPr>
                <w:rFonts w:ascii="Arial" w:hAnsi="Arial" w:cs="Arial"/>
              </w:rPr>
              <w:t>the contribution factor to</w:t>
            </w:r>
            <w:r w:rsidR="008340F9">
              <w:rPr>
                <w:rFonts w:ascii="Arial" w:hAnsi="Arial" w:cs="Arial"/>
              </w:rPr>
              <w:t xml:space="preserve"> </w:t>
            </w:r>
            <w:r w:rsidR="007F5F92" w:rsidRPr="008340F9">
              <w:rPr>
                <w:rFonts w:ascii="Arial" w:hAnsi="Arial" w:cs="Arial"/>
              </w:rPr>
              <w:t>.0000366</w:t>
            </w:r>
          </w:p>
          <w:p w:rsidR="00044EE8" w:rsidRDefault="008340F9" w:rsidP="008340F9">
            <w:pPr>
              <w:pStyle w:val="ListParagraph"/>
              <w:numPr>
                <w:ilvl w:val="0"/>
                <w:numId w:val="39"/>
              </w:numPr>
              <w:autoSpaceDE w:val="0"/>
              <w:autoSpaceDN w:val="0"/>
              <w:adjustRightInd w:val="0"/>
              <w:rPr>
                <w:rFonts w:ascii="Arial" w:hAnsi="Arial" w:cs="Arial"/>
              </w:rPr>
            </w:pPr>
            <w:r>
              <w:rPr>
                <w:rFonts w:ascii="Arial" w:hAnsi="Arial" w:cs="Arial"/>
              </w:rPr>
              <w:t>W</w:t>
            </w:r>
            <w:r w:rsidR="007F5F92" w:rsidRPr="008340F9">
              <w:rPr>
                <w:rFonts w:ascii="Arial" w:hAnsi="Arial" w:cs="Arial"/>
              </w:rPr>
              <w:t xml:space="preserve">e received consensus decision from NANC to go </w:t>
            </w:r>
            <w:r w:rsidR="00F647E0">
              <w:rPr>
                <w:rFonts w:ascii="Arial" w:hAnsi="Arial" w:cs="Arial"/>
              </w:rPr>
              <w:t xml:space="preserve">up </w:t>
            </w:r>
            <w:r w:rsidR="007F5F92" w:rsidRPr="008340F9">
              <w:rPr>
                <w:rFonts w:ascii="Arial" w:hAnsi="Arial" w:cs="Arial"/>
              </w:rPr>
              <w:t xml:space="preserve">to .0000365. </w:t>
            </w:r>
          </w:p>
          <w:p w:rsidR="007F5F92" w:rsidRDefault="007F5F92" w:rsidP="00044EE8">
            <w:pPr>
              <w:pStyle w:val="ListParagraph"/>
              <w:numPr>
                <w:ilvl w:val="0"/>
                <w:numId w:val="39"/>
              </w:numPr>
              <w:autoSpaceDE w:val="0"/>
              <w:autoSpaceDN w:val="0"/>
              <w:adjustRightInd w:val="0"/>
              <w:rPr>
                <w:rFonts w:ascii="Arial" w:hAnsi="Arial" w:cs="Arial"/>
              </w:rPr>
            </w:pPr>
            <w:r w:rsidRPr="008340F9">
              <w:rPr>
                <w:rFonts w:ascii="Arial" w:hAnsi="Arial" w:cs="Arial"/>
              </w:rPr>
              <w:t xml:space="preserve">Heather discusses </w:t>
            </w:r>
            <w:proofErr w:type="gramStart"/>
            <w:r w:rsidRPr="008340F9">
              <w:rPr>
                <w:rFonts w:ascii="Arial" w:hAnsi="Arial" w:cs="Arial"/>
              </w:rPr>
              <w:t>pro’s</w:t>
            </w:r>
            <w:proofErr w:type="gramEnd"/>
            <w:r w:rsidRPr="008340F9">
              <w:rPr>
                <w:rFonts w:ascii="Arial" w:hAnsi="Arial" w:cs="Arial"/>
              </w:rPr>
              <w:t xml:space="preserve"> and </w:t>
            </w:r>
            <w:proofErr w:type="spellStart"/>
            <w:r w:rsidRPr="008340F9">
              <w:rPr>
                <w:rFonts w:ascii="Arial" w:hAnsi="Arial" w:cs="Arial"/>
              </w:rPr>
              <w:t>con’s</w:t>
            </w:r>
            <w:proofErr w:type="spellEnd"/>
            <w:r w:rsidRPr="008340F9">
              <w:rPr>
                <w:rFonts w:ascii="Arial" w:hAnsi="Arial" w:cs="Arial"/>
              </w:rPr>
              <w:t xml:space="preserve"> of changing the contribution factor to .0000366, and ultimately proposed we stay with .0000365. Based on her judgment, staying at .0000365 is reasonable – </w:t>
            </w:r>
            <w:r w:rsidR="00044EE8">
              <w:rPr>
                <w:rFonts w:ascii="Arial" w:hAnsi="Arial" w:cs="Arial"/>
              </w:rPr>
              <w:t xml:space="preserve">there are line items in the budget we have not had to use before totally over $300,000 (audit), and </w:t>
            </w:r>
            <w:r w:rsidRPr="008340F9">
              <w:rPr>
                <w:rFonts w:ascii="Arial" w:hAnsi="Arial" w:cs="Arial"/>
              </w:rPr>
              <w:t>especially considering we have 1M contingency built in to the budget</w:t>
            </w:r>
            <w:r w:rsidR="00044EE8">
              <w:rPr>
                <w:rFonts w:ascii="Arial" w:hAnsi="Arial" w:cs="Arial"/>
              </w:rPr>
              <w:t xml:space="preserve"> in case we go over the budget during the funding year.</w:t>
            </w:r>
          </w:p>
          <w:p w:rsidR="00044EE8" w:rsidRPr="008340F9" w:rsidRDefault="00044EE8" w:rsidP="00044EE8">
            <w:pPr>
              <w:pStyle w:val="ListParagraph"/>
              <w:numPr>
                <w:ilvl w:val="0"/>
                <w:numId w:val="39"/>
              </w:numPr>
              <w:autoSpaceDE w:val="0"/>
              <w:autoSpaceDN w:val="0"/>
              <w:adjustRightInd w:val="0"/>
              <w:rPr>
                <w:rFonts w:ascii="Arial" w:hAnsi="Arial" w:cs="Arial"/>
              </w:rPr>
            </w:pPr>
            <w:r>
              <w:rPr>
                <w:rFonts w:ascii="Arial" w:hAnsi="Arial" w:cs="Arial"/>
              </w:rPr>
              <w:t>The B&amp;C WG agrees with Heather and consensus was reached to leave the contribution factor at .0000365.</w:t>
            </w:r>
          </w:p>
        </w:tc>
      </w:tr>
      <w:tr w:rsidR="00405462" w:rsidTr="00CB3F5D">
        <w:trPr>
          <w:cantSplit/>
        </w:trPr>
        <w:tc>
          <w:tcPr>
            <w:tcW w:w="10170" w:type="dxa"/>
            <w:gridSpan w:val="2"/>
            <w:tcBorders>
              <w:top w:val="single" w:sz="6" w:space="0" w:color="auto"/>
              <w:bottom w:val="single" w:sz="6" w:space="0" w:color="auto"/>
            </w:tcBorders>
          </w:tcPr>
          <w:p w:rsidR="007134BA" w:rsidRDefault="007134BA" w:rsidP="007134BA">
            <w:pPr>
              <w:autoSpaceDE w:val="0"/>
              <w:autoSpaceDN w:val="0"/>
              <w:jc w:val="center"/>
              <w:rPr>
                <w:rFonts w:ascii="Arial" w:hAnsi="Arial" w:cs="Arial"/>
                <w:b/>
                <w:sz w:val="24"/>
                <w:szCs w:val="24"/>
              </w:rPr>
            </w:pPr>
            <w:r w:rsidRPr="00044EE8">
              <w:rPr>
                <w:rFonts w:ascii="Arial" w:hAnsi="Arial" w:cs="Arial"/>
                <w:b/>
                <w:sz w:val="24"/>
                <w:szCs w:val="24"/>
              </w:rPr>
              <w:lastRenderedPageBreak/>
              <w:t>Potential Funding Year Change</w:t>
            </w:r>
          </w:p>
          <w:p w:rsidR="00044EE8" w:rsidRPr="00044EE8" w:rsidRDefault="00044EE8" w:rsidP="007134BA">
            <w:pPr>
              <w:autoSpaceDE w:val="0"/>
              <w:autoSpaceDN w:val="0"/>
              <w:jc w:val="center"/>
              <w:rPr>
                <w:rFonts w:ascii="Arial" w:hAnsi="Arial" w:cs="Arial"/>
                <w:b/>
                <w:sz w:val="24"/>
                <w:szCs w:val="24"/>
              </w:rPr>
            </w:pPr>
          </w:p>
          <w:p w:rsidR="00FA1A12" w:rsidRPr="00044EE8" w:rsidRDefault="0058596D" w:rsidP="008340F9">
            <w:pPr>
              <w:numPr>
                <w:ilvl w:val="0"/>
                <w:numId w:val="38"/>
              </w:numPr>
              <w:autoSpaceDE w:val="0"/>
              <w:autoSpaceDN w:val="0"/>
              <w:rPr>
                <w:rFonts w:ascii="Arial" w:hAnsi="Arial" w:cs="Arial"/>
              </w:rPr>
            </w:pPr>
            <w:r w:rsidRPr="00044EE8">
              <w:rPr>
                <w:rFonts w:ascii="Arial" w:hAnsi="Arial" w:cs="Arial"/>
              </w:rPr>
              <w:t xml:space="preserve">We are discussing moving the funding year to align with the federal fiscal </w:t>
            </w:r>
            <w:proofErr w:type="gramStart"/>
            <w:r w:rsidRPr="00044EE8">
              <w:rPr>
                <w:rFonts w:ascii="Arial" w:hAnsi="Arial" w:cs="Arial"/>
              </w:rPr>
              <w:t>year,</w:t>
            </w:r>
            <w:proofErr w:type="gramEnd"/>
            <w:r w:rsidR="00044EE8">
              <w:rPr>
                <w:rFonts w:ascii="Arial" w:hAnsi="Arial" w:cs="Arial"/>
              </w:rPr>
              <w:t xml:space="preserve"> we feel the month of September/October </w:t>
            </w:r>
            <w:r w:rsidRPr="00044EE8">
              <w:rPr>
                <w:rFonts w:ascii="Arial" w:hAnsi="Arial" w:cs="Arial"/>
              </w:rPr>
              <w:t>would be an ideal timeframe for our budget. Currently the funding year ends in June. We bill in June based on revenue figures received in May and we collect beginning in July.</w:t>
            </w:r>
          </w:p>
          <w:p w:rsidR="00FA1A12" w:rsidRPr="00044EE8" w:rsidRDefault="0058596D" w:rsidP="008340F9">
            <w:pPr>
              <w:numPr>
                <w:ilvl w:val="0"/>
                <w:numId w:val="38"/>
              </w:numPr>
              <w:autoSpaceDE w:val="0"/>
              <w:autoSpaceDN w:val="0"/>
              <w:rPr>
                <w:rFonts w:ascii="Arial" w:hAnsi="Arial" w:cs="Arial"/>
              </w:rPr>
            </w:pPr>
            <w:r w:rsidRPr="00044EE8">
              <w:rPr>
                <w:rFonts w:ascii="Arial" w:hAnsi="Arial" w:cs="Arial"/>
              </w:rPr>
              <w:t>The Form 499A is due in April and USAC requires time to collate the data in April and May, which does not give us much time for planning our budget.</w:t>
            </w:r>
          </w:p>
          <w:p w:rsidR="00FA1A12" w:rsidRPr="00044EE8" w:rsidRDefault="0058596D" w:rsidP="008340F9">
            <w:pPr>
              <w:numPr>
                <w:ilvl w:val="0"/>
                <w:numId w:val="38"/>
              </w:numPr>
              <w:autoSpaceDE w:val="0"/>
              <w:autoSpaceDN w:val="0"/>
              <w:rPr>
                <w:rFonts w:ascii="Arial" w:hAnsi="Arial" w:cs="Arial"/>
              </w:rPr>
            </w:pPr>
            <w:r w:rsidRPr="00044EE8">
              <w:rPr>
                <w:rFonts w:ascii="Arial" w:hAnsi="Arial" w:cs="Arial"/>
              </w:rPr>
              <w:t>We are in the beginning stages of planning. We would need a year notice in order to set the contribution factor higher to carry us through transition of 3-4 months. We would then bill for a 15-16 month timeframe for that unique (one time) cycle.</w:t>
            </w:r>
          </w:p>
          <w:p w:rsidR="007134BA" w:rsidRPr="00044EE8" w:rsidRDefault="007134BA" w:rsidP="007F5F92">
            <w:pPr>
              <w:autoSpaceDE w:val="0"/>
              <w:autoSpaceDN w:val="0"/>
              <w:rPr>
                <w:rFonts w:ascii="Arial" w:hAnsi="Arial" w:cs="Arial"/>
              </w:rPr>
            </w:pPr>
          </w:p>
          <w:p w:rsidR="007134BA" w:rsidRDefault="007134BA" w:rsidP="007F5F92">
            <w:pPr>
              <w:autoSpaceDE w:val="0"/>
              <w:autoSpaceDN w:val="0"/>
              <w:rPr>
                <w:rFonts w:ascii="Arial" w:hAnsi="Arial" w:cs="Arial"/>
                <w:sz w:val="22"/>
              </w:rPr>
            </w:pPr>
            <w:r w:rsidRPr="00044EE8">
              <w:rPr>
                <w:rFonts w:ascii="Arial" w:hAnsi="Arial" w:cs="Arial"/>
              </w:rPr>
              <w:t>Heather sent the following memo to the B&amp;C WG with her thoughts about moving the funding year.</w:t>
            </w:r>
            <w:r w:rsidR="00044EE8">
              <w:rPr>
                <w:rFonts w:ascii="Arial" w:hAnsi="Arial" w:cs="Arial"/>
              </w:rPr>
              <w:t xml:space="preserve"> She spoke with the FCC informally who mentioned by process the NANC chair should send the recommendation.</w:t>
            </w:r>
            <w:r w:rsidRPr="00044EE8">
              <w:rPr>
                <w:rFonts w:ascii="Arial" w:hAnsi="Arial" w:cs="Arial"/>
              </w:rPr>
              <w:t xml:space="preserve"> </w:t>
            </w:r>
            <w:r w:rsidR="00044EE8">
              <w:rPr>
                <w:rFonts w:ascii="Arial" w:hAnsi="Arial" w:cs="Arial"/>
              </w:rPr>
              <w:t xml:space="preserve">We do not know what the federal process would be for formally changing this funding year. The group decided to move forward with the plan as outlined by Heather below. Rosemary and Tim will work together on draft language to provide the NANC in June. </w:t>
            </w:r>
          </w:p>
          <w:p w:rsidR="007134BA" w:rsidRPr="007134BA" w:rsidRDefault="007134BA" w:rsidP="007134BA">
            <w:pPr>
              <w:tabs>
                <w:tab w:val="left" w:pos="720"/>
                <w:tab w:val="left" w:pos="1440"/>
                <w:tab w:val="left" w:pos="2160"/>
                <w:tab w:val="left" w:pos="5760"/>
              </w:tabs>
              <w:rPr>
                <w:rFonts w:ascii="Times New Roman" w:hAnsi="Times New Roman"/>
                <w:sz w:val="24"/>
                <w:szCs w:val="24"/>
              </w:rPr>
            </w:pPr>
          </w:p>
          <w:p w:rsidR="007134BA" w:rsidRPr="007134BA" w:rsidRDefault="007134BA" w:rsidP="007134BA">
            <w:pPr>
              <w:tabs>
                <w:tab w:val="left" w:pos="720"/>
                <w:tab w:val="left" w:pos="1440"/>
                <w:tab w:val="left" w:pos="2160"/>
                <w:tab w:val="left" w:pos="5760"/>
              </w:tabs>
              <w:rPr>
                <w:rFonts w:ascii="Times New Roman" w:hAnsi="Times New Roman"/>
                <w:b/>
                <w:bCs/>
                <w:sz w:val="24"/>
                <w:szCs w:val="24"/>
              </w:rPr>
            </w:pPr>
            <w:r w:rsidRPr="007134BA">
              <w:rPr>
                <w:rFonts w:ascii="Times New Roman" w:hAnsi="Times New Roman"/>
                <w:b/>
                <w:bCs/>
                <w:sz w:val="24"/>
                <w:szCs w:val="24"/>
              </w:rPr>
              <w:t>TO:</w:t>
            </w:r>
            <w:r w:rsidRPr="007134BA">
              <w:rPr>
                <w:rFonts w:ascii="Times New Roman" w:hAnsi="Times New Roman"/>
                <w:b/>
                <w:bCs/>
                <w:sz w:val="24"/>
                <w:szCs w:val="24"/>
              </w:rPr>
              <w:tab/>
            </w:r>
            <w:r w:rsidRPr="007134BA">
              <w:rPr>
                <w:rFonts w:ascii="Times New Roman" w:hAnsi="Times New Roman"/>
                <w:b/>
                <w:bCs/>
                <w:sz w:val="24"/>
                <w:szCs w:val="24"/>
              </w:rPr>
              <w:tab/>
            </w:r>
            <w:r w:rsidRPr="007134BA">
              <w:rPr>
                <w:rFonts w:ascii="Times New Roman" w:hAnsi="Times New Roman"/>
                <w:bCs/>
                <w:sz w:val="24"/>
                <w:szCs w:val="24"/>
              </w:rPr>
              <w:fldChar w:fldCharType="begin"/>
            </w:r>
            <w:r w:rsidRPr="007134BA">
              <w:rPr>
                <w:rFonts w:ascii="Times New Roman" w:hAnsi="Times New Roman"/>
                <w:bCs/>
                <w:sz w:val="24"/>
                <w:szCs w:val="24"/>
              </w:rPr>
              <w:instrText xml:space="preserve">  DOCPROPERTY "To"  \* MERGEFORMAT </w:instrText>
            </w:r>
            <w:r w:rsidRPr="007134BA">
              <w:rPr>
                <w:rFonts w:ascii="Times New Roman" w:hAnsi="Times New Roman"/>
                <w:bCs/>
                <w:sz w:val="24"/>
                <w:szCs w:val="24"/>
              </w:rPr>
              <w:fldChar w:fldCharType="separate"/>
            </w:r>
            <w:r w:rsidRPr="007134BA">
              <w:rPr>
                <w:rFonts w:ascii="Times New Roman" w:hAnsi="Times New Roman"/>
                <w:bCs/>
                <w:sz w:val="24"/>
                <w:szCs w:val="24"/>
              </w:rPr>
              <w:t>B&amp;C Working Group</w:t>
            </w:r>
            <w:r w:rsidRPr="007134BA">
              <w:rPr>
                <w:rFonts w:ascii="Times New Roman" w:hAnsi="Times New Roman"/>
                <w:bCs/>
                <w:sz w:val="24"/>
                <w:szCs w:val="24"/>
              </w:rPr>
              <w:fldChar w:fldCharType="end"/>
            </w:r>
          </w:p>
          <w:p w:rsidR="007134BA" w:rsidRPr="007134BA" w:rsidRDefault="007134BA" w:rsidP="007134BA">
            <w:pPr>
              <w:tabs>
                <w:tab w:val="left" w:pos="720"/>
                <w:tab w:val="left" w:pos="1440"/>
                <w:tab w:val="left" w:pos="2160"/>
                <w:tab w:val="left" w:pos="5760"/>
              </w:tabs>
              <w:rPr>
                <w:rFonts w:ascii="Times New Roman" w:hAnsi="Times New Roman"/>
                <w:sz w:val="24"/>
                <w:szCs w:val="24"/>
              </w:rPr>
            </w:pPr>
          </w:p>
          <w:p w:rsidR="007134BA" w:rsidRPr="007134BA" w:rsidRDefault="007134BA" w:rsidP="007134BA">
            <w:pPr>
              <w:tabs>
                <w:tab w:val="left" w:pos="720"/>
                <w:tab w:val="left" w:pos="1440"/>
                <w:tab w:val="left" w:pos="2160"/>
                <w:tab w:val="left" w:pos="5760"/>
              </w:tabs>
              <w:rPr>
                <w:rFonts w:ascii="Times New Roman" w:hAnsi="Times New Roman"/>
                <w:b/>
                <w:bCs/>
                <w:sz w:val="24"/>
                <w:szCs w:val="24"/>
              </w:rPr>
            </w:pPr>
            <w:r w:rsidRPr="007134BA">
              <w:rPr>
                <w:rFonts w:ascii="Times New Roman" w:hAnsi="Times New Roman"/>
                <w:b/>
                <w:bCs/>
                <w:sz w:val="24"/>
                <w:szCs w:val="24"/>
              </w:rPr>
              <w:t>FROM:</w:t>
            </w:r>
            <w:r w:rsidRPr="007134BA">
              <w:rPr>
                <w:rFonts w:ascii="Times New Roman" w:hAnsi="Times New Roman"/>
                <w:b/>
                <w:bCs/>
                <w:sz w:val="24"/>
                <w:szCs w:val="24"/>
              </w:rPr>
              <w:tab/>
            </w:r>
            <w:r w:rsidRPr="007134BA">
              <w:rPr>
                <w:rFonts w:ascii="Times New Roman" w:hAnsi="Times New Roman"/>
                <w:bCs/>
                <w:sz w:val="24"/>
                <w:szCs w:val="24"/>
              </w:rPr>
              <w:fldChar w:fldCharType="begin"/>
            </w:r>
            <w:r w:rsidRPr="007134BA">
              <w:rPr>
                <w:rFonts w:ascii="Times New Roman" w:hAnsi="Times New Roman"/>
                <w:bCs/>
                <w:sz w:val="24"/>
                <w:szCs w:val="24"/>
              </w:rPr>
              <w:instrText xml:space="preserve">  DOCPROPERTY "From"  \* MERGEFORMAT </w:instrText>
            </w:r>
            <w:r w:rsidRPr="007134BA">
              <w:rPr>
                <w:rFonts w:ascii="Times New Roman" w:hAnsi="Times New Roman"/>
                <w:bCs/>
                <w:sz w:val="24"/>
                <w:szCs w:val="24"/>
              </w:rPr>
              <w:fldChar w:fldCharType="separate"/>
            </w:r>
            <w:r w:rsidRPr="007134BA">
              <w:rPr>
                <w:rFonts w:ascii="Times New Roman" w:hAnsi="Times New Roman"/>
                <w:bCs/>
                <w:sz w:val="24"/>
                <w:szCs w:val="24"/>
              </w:rPr>
              <w:t>Welch LLP</w:t>
            </w:r>
            <w:r w:rsidRPr="007134BA">
              <w:rPr>
                <w:rFonts w:ascii="Times New Roman" w:hAnsi="Times New Roman"/>
                <w:bCs/>
                <w:sz w:val="24"/>
                <w:szCs w:val="24"/>
              </w:rPr>
              <w:fldChar w:fldCharType="end"/>
            </w:r>
          </w:p>
          <w:p w:rsidR="007134BA" w:rsidRPr="007134BA" w:rsidRDefault="007134BA" w:rsidP="007134BA">
            <w:pPr>
              <w:tabs>
                <w:tab w:val="left" w:pos="720"/>
                <w:tab w:val="left" w:pos="1440"/>
                <w:tab w:val="left" w:pos="2160"/>
                <w:tab w:val="left" w:pos="5760"/>
              </w:tabs>
              <w:rPr>
                <w:rFonts w:ascii="Times New Roman" w:hAnsi="Times New Roman"/>
                <w:sz w:val="24"/>
                <w:szCs w:val="24"/>
              </w:rPr>
            </w:pPr>
          </w:p>
          <w:p w:rsidR="007134BA" w:rsidRPr="007134BA" w:rsidRDefault="007134BA" w:rsidP="007134BA">
            <w:p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
                <w:bCs/>
                <w:sz w:val="24"/>
                <w:szCs w:val="24"/>
              </w:rPr>
              <w:t>DATE:</w:t>
            </w:r>
            <w:r w:rsidRPr="007134BA">
              <w:rPr>
                <w:rFonts w:ascii="Times New Roman" w:hAnsi="Times New Roman"/>
                <w:b/>
                <w:bCs/>
                <w:sz w:val="24"/>
                <w:szCs w:val="24"/>
              </w:rPr>
              <w:tab/>
            </w:r>
            <w:r w:rsidRPr="007134BA">
              <w:rPr>
                <w:rFonts w:ascii="Times New Roman" w:hAnsi="Times New Roman"/>
                <w:bCs/>
                <w:sz w:val="24"/>
                <w:szCs w:val="24"/>
              </w:rPr>
              <w:fldChar w:fldCharType="begin">
                <w:ffData>
                  <w:name w:val="Text5"/>
                  <w:enabled w:val="0"/>
                  <w:calcOnExit w:val="0"/>
                  <w:textInput>
                    <w:type w:val="currentDate"/>
                    <w:format w:val="MMMM d, yyyy"/>
                  </w:textInput>
                </w:ffData>
              </w:fldChar>
            </w:r>
            <w:bookmarkStart w:id="1" w:name="Text5"/>
            <w:r w:rsidRPr="007134BA">
              <w:rPr>
                <w:rFonts w:ascii="Times New Roman" w:hAnsi="Times New Roman"/>
                <w:bCs/>
                <w:sz w:val="24"/>
                <w:szCs w:val="24"/>
              </w:rPr>
              <w:instrText xml:space="preserve"> FORMTEXT </w:instrText>
            </w:r>
            <w:r w:rsidRPr="007134BA">
              <w:rPr>
                <w:rFonts w:ascii="Times New Roman" w:hAnsi="Times New Roman"/>
                <w:bCs/>
                <w:sz w:val="24"/>
                <w:szCs w:val="24"/>
              </w:rPr>
              <w:fldChar w:fldCharType="begin"/>
            </w:r>
            <w:r w:rsidRPr="007134BA">
              <w:rPr>
                <w:rFonts w:ascii="Times New Roman" w:hAnsi="Times New Roman"/>
                <w:bCs/>
                <w:sz w:val="24"/>
                <w:szCs w:val="24"/>
              </w:rPr>
              <w:instrText xml:space="preserve"> DATE \@ "MMMM d, yyyy" </w:instrText>
            </w:r>
            <w:r w:rsidRPr="007134BA">
              <w:rPr>
                <w:rFonts w:ascii="Times New Roman" w:hAnsi="Times New Roman"/>
                <w:bCs/>
                <w:sz w:val="24"/>
                <w:szCs w:val="24"/>
              </w:rPr>
              <w:fldChar w:fldCharType="separate"/>
            </w:r>
            <w:r w:rsidR="00C12251">
              <w:rPr>
                <w:rFonts w:ascii="Times New Roman" w:hAnsi="Times New Roman"/>
                <w:bCs/>
                <w:noProof/>
                <w:sz w:val="24"/>
                <w:szCs w:val="24"/>
              </w:rPr>
              <w:instrText>April 29, 2014</w:instrText>
            </w:r>
            <w:r w:rsidRPr="007134BA">
              <w:rPr>
                <w:rFonts w:ascii="Times New Roman" w:hAnsi="Times New Roman"/>
                <w:bCs/>
                <w:sz w:val="24"/>
                <w:szCs w:val="24"/>
              </w:rPr>
              <w:fldChar w:fldCharType="end"/>
            </w:r>
            <w:r w:rsidRPr="007134BA">
              <w:rPr>
                <w:rFonts w:ascii="Times New Roman" w:hAnsi="Times New Roman"/>
                <w:bCs/>
                <w:sz w:val="24"/>
                <w:szCs w:val="24"/>
              </w:rPr>
            </w:r>
            <w:r w:rsidRPr="007134BA">
              <w:rPr>
                <w:rFonts w:ascii="Times New Roman" w:hAnsi="Times New Roman"/>
                <w:bCs/>
                <w:sz w:val="24"/>
                <w:szCs w:val="24"/>
              </w:rPr>
              <w:fldChar w:fldCharType="separate"/>
            </w:r>
            <w:r w:rsidRPr="007134BA">
              <w:rPr>
                <w:rFonts w:ascii="Times New Roman" w:hAnsi="Times New Roman"/>
                <w:bCs/>
                <w:noProof/>
                <w:sz w:val="24"/>
                <w:szCs w:val="24"/>
              </w:rPr>
              <w:t>April 28, 2014</w:t>
            </w:r>
            <w:r w:rsidRPr="007134BA">
              <w:rPr>
                <w:rFonts w:ascii="Times New Roman" w:hAnsi="Times New Roman"/>
                <w:bCs/>
                <w:sz w:val="24"/>
                <w:szCs w:val="24"/>
              </w:rPr>
              <w:fldChar w:fldCharType="end"/>
            </w:r>
            <w:bookmarkEnd w:id="1"/>
          </w:p>
          <w:p w:rsidR="007134BA" w:rsidRPr="007134BA" w:rsidRDefault="007134BA" w:rsidP="007134BA">
            <w:pPr>
              <w:tabs>
                <w:tab w:val="left" w:pos="720"/>
                <w:tab w:val="left" w:pos="1440"/>
                <w:tab w:val="left" w:pos="2160"/>
                <w:tab w:val="left" w:pos="5760"/>
              </w:tabs>
              <w:rPr>
                <w:rFonts w:ascii="Times New Roman" w:hAnsi="Times New Roman"/>
                <w:b/>
                <w:bCs/>
                <w:sz w:val="24"/>
                <w:szCs w:val="24"/>
              </w:rPr>
            </w:pPr>
          </w:p>
          <w:p w:rsidR="007134BA" w:rsidRPr="007134BA" w:rsidRDefault="007134BA" w:rsidP="007134BA">
            <w:pPr>
              <w:tabs>
                <w:tab w:val="left" w:pos="720"/>
                <w:tab w:val="left" w:pos="1440"/>
                <w:tab w:val="left" w:pos="2160"/>
                <w:tab w:val="left" w:pos="5760"/>
              </w:tabs>
              <w:rPr>
                <w:rFonts w:ascii="Times New Roman" w:hAnsi="Times New Roman"/>
                <w:b/>
                <w:bCs/>
                <w:sz w:val="24"/>
                <w:szCs w:val="24"/>
              </w:rPr>
            </w:pPr>
            <w:r w:rsidRPr="007134BA">
              <w:rPr>
                <w:rFonts w:ascii="Times New Roman" w:hAnsi="Times New Roman"/>
                <w:b/>
                <w:bCs/>
                <w:sz w:val="24"/>
                <w:szCs w:val="24"/>
              </w:rPr>
              <w:t>RE:</w:t>
            </w:r>
            <w:r w:rsidRPr="007134BA">
              <w:rPr>
                <w:rFonts w:ascii="Times New Roman" w:hAnsi="Times New Roman"/>
                <w:b/>
                <w:bCs/>
                <w:sz w:val="24"/>
                <w:szCs w:val="24"/>
              </w:rPr>
              <w:tab/>
            </w:r>
            <w:r w:rsidRPr="007134BA">
              <w:rPr>
                <w:rFonts w:ascii="Times New Roman" w:hAnsi="Times New Roman"/>
                <w:b/>
                <w:bCs/>
                <w:sz w:val="24"/>
                <w:szCs w:val="24"/>
              </w:rPr>
              <w:tab/>
            </w:r>
            <w:r w:rsidRPr="007134BA">
              <w:rPr>
                <w:rFonts w:ascii="Times New Roman" w:hAnsi="Times New Roman"/>
                <w:bCs/>
                <w:sz w:val="24"/>
                <w:szCs w:val="24"/>
              </w:rPr>
              <w:fldChar w:fldCharType="begin"/>
            </w:r>
            <w:r w:rsidRPr="007134BA">
              <w:rPr>
                <w:rFonts w:ascii="Times New Roman" w:hAnsi="Times New Roman"/>
                <w:bCs/>
                <w:sz w:val="24"/>
                <w:szCs w:val="24"/>
              </w:rPr>
              <w:instrText xml:space="preserve">  DOCPROPERTY "Re"  \* MERGEFORMAT </w:instrText>
            </w:r>
            <w:r w:rsidRPr="007134BA">
              <w:rPr>
                <w:rFonts w:ascii="Times New Roman" w:hAnsi="Times New Roman"/>
                <w:bCs/>
                <w:sz w:val="24"/>
                <w:szCs w:val="24"/>
              </w:rPr>
              <w:fldChar w:fldCharType="separate"/>
            </w:r>
            <w:r w:rsidRPr="007134BA">
              <w:rPr>
                <w:rFonts w:ascii="Times New Roman" w:hAnsi="Times New Roman"/>
                <w:bCs/>
                <w:sz w:val="24"/>
                <w:szCs w:val="24"/>
              </w:rPr>
              <w:t>Issues to consider re moving the funding period</w:t>
            </w:r>
            <w:r w:rsidRPr="007134BA">
              <w:rPr>
                <w:rFonts w:ascii="Times New Roman" w:hAnsi="Times New Roman"/>
                <w:bCs/>
                <w:sz w:val="24"/>
                <w:szCs w:val="24"/>
              </w:rPr>
              <w:fldChar w:fldCharType="end"/>
            </w:r>
          </w:p>
          <w:p w:rsidR="007134BA" w:rsidRPr="007134BA" w:rsidRDefault="007134BA" w:rsidP="007134BA">
            <w:pPr>
              <w:tabs>
                <w:tab w:val="left" w:pos="720"/>
                <w:tab w:val="left" w:pos="1440"/>
                <w:tab w:val="left" w:pos="2160"/>
                <w:tab w:val="left" w:pos="5760"/>
              </w:tabs>
              <w:jc w:val="center"/>
              <w:rPr>
                <w:rFonts w:ascii="Times New Roman" w:hAnsi="Times New Roman"/>
                <w:b/>
                <w:bCs/>
                <w:sz w:val="24"/>
                <w:szCs w:val="24"/>
              </w:rPr>
            </w:pPr>
            <w:r w:rsidRPr="007134BA">
              <w:rPr>
                <w:rFonts w:ascii="Times New Roman" w:hAnsi="Times New Roman"/>
                <w:b/>
                <w:bCs/>
                <w:sz w:val="24"/>
                <w:szCs w:val="24"/>
              </w:rPr>
              <w:t>_________________________________________</w:t>
            </w:r>
          </w:p>
          <w:p w:rsidR="007134BA" w:rsidRPr="007134BA" w:rsidRDefault="007134BA" w:rsidP="007134BA">
            <w:pPr>
              <w:tabs>
                <w:tab w:val="left" w:pos="720"/>
                <w:tab w:val="left" w:pos="1440"/>
                <w:tab w:val="left" w:pos="2160"/>
                <w:tab w:val="left" w:pos="5760"/>
              </w:tabs>
              <w:rPr>
                <w:rFonts w:ascii="Times New Roman" w:hAnsi="Times New Roman"/>
                <w:b/>
                <w:bCs/>
                <w:sz w:val="24"/>
                <w:szCs w:val="24"/>
              </w:rPr>
            </w:pPr>
          </w:p>
          <w:p w:rsidR="007134BA" w:rsidRPr="007134BA" w:rsidRDefault="007134BA" w:rsidP="007134BA">
            <w:pPr>
              <w:tabs>
                <w:tab w:val="left" w:pos="720"/>
                <w:tab w:val="left" w:pos="1440"/>
                <w:tab w:val="left" w:pos="2160"/>
                <w:tab w:val="left" w:pos="5760"/>
              </w:tabs>
              <w:rPr>
                <w:rFonts w:ascii="Times New Roman" w:hAnsi="Times New Roman"/>
                <w:bCs/>
                <w:sz w:val="24"/>
                <w:szCs w:val="24"/>
              </w:rPr>
            </w:pPr>
          </w:p>
          <w:p w:rsidR="007134BA" w:rsidRPr="007134BA" w:rsidRDefault="007134BA" w:rsidP="007134BA">
            <w:p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 xml:space="preserve">The B&amp;C Working Group is considering changing the funding period from July to June period to </w:t>
            </w:r>
            <w:proofErr w:type="gramStart"/>
            <w:r w:rsidRPr="007134BA">
              <w:rPr>
                <w:rFonts w:ascii="Times New Roman" w:hAnsi="Times New Roman"/>
                <w:bCs/>
                <w:sz w:val="24"/>
                <w:szCs w:val="24"/>
              </w:rPr>
              <w:t>a</w:t>
            </w:r>
            <w:proofErr w:type="gramEnd"/>
            <w:r w:rsidRPr="007134BA">
              <w:rPr>
                <w:rFonts w:ascii="Times New Roman" w:hAnsi="Times New Roman"/>
                <w:bCs/>
                <w:sz w:val="24"/>
                <w:szCs w:val="24"/>
              </w:rPr>
              <w:t xml:space="preserve"> October – September funding period.  This funding period was chosen to coincide with the fiscal year end of the fund. Issues to consider are as follows:</w:t>
            </w:r>
          </w:p>
          <w:p w:rsidR="007134BA" w:rsidRPr="007134BA" w:rsidRDefault="007134BA" w:rsidP="007134BA">
            <w:pPr>
              <w:tabs>
                <w:tab w:val="left" w:pos="720"/>
                <w:tab w:val="left" w:pos="1440"/>
                <w:tab w:val="left" w:pos="2160"/>
                <w:tab w:val="left" w:pos="5760"/>
              </w:tabs>
              <w:rPr>
                <w:rFonts w:ascii="Times New Roman" w:hAnsi="Times New Roman"/>
                <w:bCs/>
                <w:sz w:val="24"/>
                <w:szCs w:val="24"/>
              </w:rPr>
            </w:pPr>
          </w:p>
          <w:p w:rsidR="007134BA" w:rsidRPr="007134BA" w:rsidRDefault="007134BA" w:rsidP="007134BA">
            <w:pPr>
              <w:numPr>
                <w:ilvl w:val="0"/>
                <w:numId w:val="37"/>
              </w:num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In order to move the funding period start date to October, the budget for 2015-16 would have to be for a 15 month period covering July 2015 to September 2016.</w:t>
            </w:r>
          </w:p>
          <w:p w:rsidR="007134BA" w:rsidRPr="007134BA" w:rsidRDefault="007134BA" w:rsidP="007134BA">
            <w:pPr>
              <w:numPr>
                <w:ilvl w:val="0"/>
                <w:numId w:val="37"/>
              </w:num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Fees for that 15 month period would be based on the 2014 revenue reported on the Form 499A due April 2015. Fees for the period July 2016 to September 2016 which would normally be based on the 2015 revenue and reported on the April 2016 Form 499 would be based on the 2014 revenue.  Is this a problem?</w:t>
            </w:r>
          </w:p>
          <w:p w:rsidR="007134BA" w:rsidRPr="007134BA" w:rsidRDefault="007134BA" w:rsidP="007134BA">
            <w:pPr>
              <w:numPr>
                <w:ilvl w:val="0"/>
                <w:numId w:val="37"/>
              </w:num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Changing the funding period will only solve the issue of estimating the funding base during the budget process but will not address issues surrounding reissuance of supplier contracts.</w:t>
            </w:r>
          </w:p>
          <w:p w:rsidR="007134BA" w:rsidRPr="007134BA" w:rsidRDefault="007134BA" w:rsidP="007134BA">
            <w:pPr>
              <w:numPr>
                <w:ilvl w:val="0"/>
                <w:numId w:val="37"/>
              </w:num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Per discussions with Sanford Williams, the decision to move the funding period would have to be unanimous. Upon final decision, the Chair of NANC should be the one to advise the FCC of the change in the funding period.</w:t>
            </w:r>
          </w:p>
          <w:p w:rsidR="007134BA" w:rsidRPr="007134BA" w:rsidRDefault="007134BA" w:rsidP="007134BA">
            <w:pPr>
              <w:numPr>
                <w:ilvl w:val="0"/>
                <w:numId w:val="37"/>
              </w:num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 xml:space="preserve">How will the industry be informed of the change?  </w:t>
            </w:r>
          </w:p>
          <w:p w:rsidR="007134BA" w:rsidRPr="007134BA" w:rsidRDefault="007134BA" w:rsidP="007134BA">
            <w:pPr>
              <w:numPr>
                <w:ilvl w:val="0"/>
                <w:numId w:val="37"/>
              </w:numPr>
              <w:tabs>
                <w:tab w:val="left" w:pos="720"/>
                <w:tab w:val="left" w:pos="1440"/>
                <w:tab w:val="left" w:pos="2160"/>
                <w:tab w:val="left" w:pos="5760"/>
              </w:tabs>
              <w:rPr>
                <w:rFonts w:ascii="Times New Roman" w:hAnsi="Times New Roman"/>
                <w:bCs/>
                <w:sz w:val="24"/>
                <w:szCs w:val="24"/>
              </w:rPr>
            </w:pPr>
            <w:r w:rsidRPr="007134BA">
              <w:rPr>
                <w:rFonts w:ascii="Times New Roman" w:hAnsi="Times New Roman"/>
                <w:bCs/>
                <w:sz w:val="24"/>
                <w:szCs w:val="24"/>
              </w:rPr>
              <w:t>Carrier will have a larger fee in the transition year so they will need to be informed as soon as possible for budgeting purposes.  For those carriers who pay a fee greater than $25, the increase will be about 25% likely. This would represent an additional three months of costs that would need to be covered.</w:t>
            </w:r>
          </w:p>
          <w:p w:rsidR="007134BA" w:rsidRDefault="007134BA" w:rsidP="007F5F92">
            <w:pPr>
              <w:autoSpaceDE w:val="0"/>
              <w:autoSpaceDN w:val="0"/>
              <w:rPr>
                <w:rFonts w:ascii="Arial" w:hAnsi="Arial" w:cs="Arial"/>
                <w:sz w:val="22"/>
              </w:rPr>
            </w:pPr>
          </w:p>
          <w:p w:rsidR="007134BA" w:rsidRDefault="007134BA" w:rsidP="007F5F92">
            <w:pPr>
              <w:autoSpaceDE w:val="0"/>
              <w:autoSpaceDN w:val="0"/>
              <w:rPr>
                <w:rFonts w:ascii="Arial" w:hAnsi="Arial" w:cs="Arial"/>
                <w:sz w:val="22"/>
              </w:rPr>
            </w:pPr>
          </w:p>
        </w:tc>
      </w:tr>
      <w:tr w:rsidR="00C57FDD" w:rsidTr="00405462">
        <w:trPr>
          <w:cantSplit/>
        </w:trPr>
        <w:tc>
          <w:tcPr>
            <w:tcW w:w="8370" w:type="dxa"/>
            <w:tcBorders>
              <w:top w:val="single" w:sz="6" w:space="0" w:color="auto"/>
              <w:bottom w:val="single" w:sz="6" w:space="0" w:color="auto"/>
            </w:tcBorders>
          </w:tcPr>
          <w:p w:rsidR="00B8339C" w:rsidRDefault="00B8339C" w:rsidP="00B8339C">
            <w:pPr>
              <w:autoSpaceDE w:val="0"/>
              <w:autoSpaceDN w:val="0"/>
              <w:adjustRightInd w:val="0"/>
              <w:rPr>
                <w:rFonts w:ascii="Arial" w:hAnsi="Arial" w:cs="Arial"/>
                <w:b/>
                <w:bCs/>
                <w:sz w:val="28"/>
                <w:szCs w:val="28"/>
              </w:rPr>
            </w:pPr>
            <w:r>
              <w:rPr>
                <w:rFonts w:ascii="Arial" w:hAnsi="Arial" w:cs="Arial"/>
                <w:b/>
                <w:bCs/>
                <w:sz w:val="28"/>
                <w:szCs w:val="28"/>
              </w:rPr>
              <w:lastRenderedPageBreak/>
              <w:t>Deliverables Report</w:t>
            </w:r>
          </w:p>
          <w:p w:rsidR="00B8339C" w:rsidRDefault="00B8339C" w:rsidP="00B8339C">
            <w:pPr>
              <w:autoSpaceDE w:val="0"/>
              <w:autoSpaceDN w:val="0"/>
              <w:adjustRightInd w:val="0"/>
              <w:rPr>
                <w:rFonts w:ascii="Arial" w:hAnsi="Arial" w:cs="Arial"/>
                <w:b/>
                <w:bCs/>
                <w:sz w:val="28"/>
                <w:szCs w:val="28"/>
              </w:rPr>
            </w:pPr>
          </w:p>
          <w:p w:rsidR="00B8339C" w:rsidRDefault="00B8339C" w:rsidP="00B8339C">
            <w:pPr>
              <w:autoSpaceDE w:val="0"/>
              <w:autoSpaceDN w:val="0"/>
              <w:adjustRightInd w:val="0"/>
              <w:rPr>
                <w:rFonts w:ascii="Arial" w:hAnsi="Arial" w:cs="Arial"/>
                <w:b/>
                <w:bCs/>
              </w:rPr>
            </w:pPr>
            <w:r>
              <w:rPr>
                <w:rFonts w:ascii="Arial" w:hAnsi="Arial" w:cs="Arial"/>
                <w:b/>
                <w:bCs/>
              </w:rPr>
              <w:t>Distributing invoices</w:t>
            </w:r>
          </w:p>
          <w:p w:rsidR="00B8339C" w:rsidRDefault="00B8339C" w:rsidP="00B8339C">
            <w:pPr>
              <w:autoSpaceDE w:val="0"/>
              <w:autoSpaceDN w:val="0"/>
              <w:adjustRightInd w:val="0"/>
              <w:rPr>
                <w:rFonts w:ascii="Arial" w:hAnsi="Arial" w:cs="Arial"/>
              </w:rPr>
            </w:pPr>
            <w:r>
              <w:rPr>
                <w:rFonts w:ascii="Arial" w:hAnsi="Arial" w:cs="Arial"/>
              </w:rPr>
              <w:t>The monthly invoices for carriers were mailed by March 12, 2014.</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Processing Payments</w:t>
            </w:r>
          </w:p>
          <w:p w:rsidR="00B8339C" w:rsidRDefault="00B8339C" w:rsidP="00B8339C">
            <w:pPr>
              <w:autoSpaceDE w:val="0"/>
              <w:autoSpaceDN w:val="0"/>
              <w:adjustRightInd w:val="0"/>
              <w:rPr>
                <w:rFonts w:ascii="Arial" w:hAnsi="Arial" w:cs="Arial"/>
              </w:rPr>
            </w:pPr>
            <w:r>
              <w:rPr>
                <w:rFonts w:ascii="Arial" w:hAnsi="Arial" w:cs="Arial"/>
              </w:rPr>
              <w:t>Payment information from the lockbox service at Mellon Bank is downloaded on a daily basis. The deposit information is recorded daily.</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Late/Absent Payments</w:t>
            </w:r>
          </w:p>
          <w:p w:rsidR="00B8339C" w:rsidRDefault="00B8339C" w:rsidP="00B8339C">
            <w:pPr>
              <w:autoSpaceDE w:val="0"/>
              <w:autoSpaceDN w:val="0"/>
              <w:adjustRightInd w:val="0"/>
              <w:rPr>
                <w:rFonts w:ascii="Arial" w:hAnsi="Arial" w:cs="Arial"/>
              </w:rPr>
            </w:pPr>
            <w:r>
              <w:rPr>
                <w:rFonts w:ascii="Arial" w:hAnsi="Arial" w:cs="Arial"/>
              </w:rPr>
              <w:t>We are continuing with collection calls to carriers with outstanding balances. Statements were mailed at the beginning of the month to carriers with balances greater than $5 that have not been sent to Treasury for collections.</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FCC Red Light Notices</w:t>
            </w:r>
          </w:p>
          <w:p w:rsidR="00B8339C" w:rsidRDefault="00B8339C" w:rsidP="00B8339C">
            <w:pPr>
              <w:autoSpaceDE w:val="0"/>
              <w:autoSpaceDN w:val="0"/>
              <w:adjustRightInd w:val="0"/>
              <w:rPr>
                <w:rFonts w:ascii="Arial" w:hAnsi="Arial" w:cs="Arial"/>
              </w:rPr>
            </w:pPr>
            <w:r>
              <w:rPr>
                <w:rFonts w:ascii="Arial" w:hAnsi="Arial" w:cs="Arial"/>
              </w:rPr>
              <w:t>At a minimum, an updated red light report is posted to the FCC server for processing once a week. When required, additional updates are posted.</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Helpdesk Queries</w:t>
            </w:r>
          </w:p>
          <w:p w:rsidR="00B8339C" w:rsidRDefault="00B8339C" w:rsidP="00B8339C">
            <w:pPr>
              <w:autoSpaceDE w:val="0"/>
              <w:autoSpaceDN w:val="0"/>
              <w:adjustRightInd w:val="0"/>
              <w:rPr>
                <w:rFonts w:ascii="Arial" w:hAnsi="Arial" w:cs="Arial"/>
              </w:rPr>
            </w:pPr>
            <w:r>
              <w:rPr>
                <w:rFonts w:ascii="Arial" w:hAnsi="Arial" w:cs="Arial"/>
              </w:rPr>
              <w:t>All queries are directed to a helpdesk voicemail inbox. The information is transferred to an Access database. The date, nature of call, name of caller, Filer ID, who responded and on what date and the resolution is tracked. Calls are returned usually within 3 business days. Seven calls were received in March. Most calls are questions about the invoice received, the late filing fee, how to pay, request for copies of invoices, why are they red lighted, change of address, they are out of business or requesting a W9.</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Staffing Changes</w:t>
            </w:r>
          </w:p>
          <w:p w:rsidR="00B8339C" w:rsidRDefault="00B8339C" w:rsidP="00B8339C">
            <w:pPr>
              <w:autoSpaceDE w:val="0"/>
              <w:autoSpaceDN w:val="0"/>
              <w:adjustRightInd w:val="0"/>
              <w:rPr>
                <w:rFonts w:ascii="Arial" w:hAnsi="Arial" w:cs="Arial"/>
              </w:rPr>
            </w:pPr>
            <w:r>
              <w:rPr>
                <w:rFonts w:ascii="Arial" w:hAnsi="Arial" w:cs="Arial"/>
              </w:rPr>
              <w:t>Nothing new to report.</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Contract Renewal</w:t>
            </w:r>
          </w:p>
          <w:p w:rsidR="00B8339C" w:rsidRDefault="00B8339C" w:rsidP="00B8339C">
            <w:pPr>
              <w:autoSpaceDE w:val="0"/>
              <w:autoSpaceDN w:val="0"/>
              <w:adjustRightInd w:val="0"/>
              <w:rPr>
                <w:rFonts w:ascii="Arial" w:hAnsi="Arial" w:cs="Arial"/>
              </w:rPr>
            </w:pPr>
            <w:r>
              <w:rPr>
                <w:rFonts w:ascii="Arial" w:hAnsi="Arial" w:cs="Arial"/>
              </w:rPr>
              <w:t>The contract expired October 1, 2009. Welch LLP is on the USGSA list. Welch LLP received an 8 month interim contract which includes a 2 month transition which will cover the period from December 1, 2013 to July 31, 2014.</w:t>
            </w:r>
          </w:p>
          <w:p w:rsidR="00B8339C" w:rsidRDefault="00B8339C" w:rsidP="00B8339C">
            <w:pPr>
              <w:autoSpaceDE w:val="0"/>
              <w:autoSpaceDN w:val="0"/>
              <w:adjustRightInd w:val="0"/>
              <w:rPr>
                <w:rFonts w:ascii="Arial" w:hAnsi="Arial" w:cs="Arial"/>
              </w:rPr>
            </w:pPr>
          </w:p>
          <w:p w:rsidR="00B8339C" w:rsidRDefault="00B8339C" w:rsidP="00B8339C">
            <w:pPr>
              <w:autoSpaceDE w:val="0"/>
              <w:autoSpaceDN w:val="0"/>
              <w:adjustRightInd w:val="0"/>
              <w:rPr>
                <w:rFonts w:ascii="Arial" w:hAnsi="Arial" w:cs="Arial"/>
                <w:b/>
                <w:bCs/>
              </w:rPr>
            </w:pPr>
            <w:r>
              <w:rPr>
                <w:rFonts w:ascii="Arial" w:hAnsi="Arial" w:cs="Arial"/>
                <w:b/>
                <w:bCs/>
              </w:rPr>
              <w:t>Accounts Receivable</w:t>
            </w:r>
          </w:p>
          <w:p w:rsidR="00C57FDD" w:rsidRDefault="00B8339C" w:rsidP="00B8339C">
            <w:pPr>
              <w:autoSpaceDE w:val="0"/>
              <w:autoSpaceDN w:val="0"/>
              <w:adjustRightInd w:val="0"/>
            </w:pPr>
            <w:r>
              <w:rPr>
                <w:rFonts w:ascii="Arial" w:hAnsi="Arial" w:cs="Arial"/>
              </w:rPr>
              <w:t>Balances still outstanding after 90 days from the due date are transferred to Treasury for collections. In March 2014 the November 2013 invoices that were still unpaid were transferred to Treasury. We received $5,934.78 from Treasury for debts collected in March.</w:t>
            </w:r>
          </w:p>
        </w:tc>
        <w:tc>
          <w:tcPr>
            <w:tcW w:w="1800" w:type="dxa"/>
            <w:tcBorders>
              <w:top w:val="single" w:sz="6" w:space="0" w:color="auto"/>
              <w:bottom w:val="single" w:sz="6" w:space="0" w:color="auto"/>
            </w:tcBorders>
          </w:tcPr>
          <w:p w:rsidR="00C57FDD" w:rsidRDefault="00C57FDD" w:rsidP="00E67124">
            <w:pPr>
              <w:pStyle w:val="ListParagraph"/>
              <w:rPr>
                <w:rFonts w:ascii="Arial" w:hAnsi="Arial" w:cs="Arial"/>
                <w:sz w:val="22"/>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7F5F92">
              <w:rPr>
                <w:b/>
                <w:color w:val="000000"/>
                <w:sz w:val="36"/>
                <w:szCs w:val="36"/>
              </w:rPr>
              <w:t>May 27</w:t>
            </w:r>
            <w:r>
              <w:rPr>
                <w:b/>
                <w:color w:val="000000"/>
                <w:sz w:val="36"/>
                <w:szCs w:val="36"/>
              </w:rPr>
              <w:t>,</w:t>
            </w:r>
            <w:r w:rsidR="008F734B">
              <w:rPr>
                <w:b/>
                <w:color w:val="000000"/>
                <w:sz w:val="36"/>
                <w:szCs w:val="36"/>
              </w:rPr>
              <w:t xml:space="preserve"> 2014</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Default="0088091E" w:rsidP="0088091E">
            <w:pPr>
              <w:jc w:val="center"/>
              <w:rPr>
                <w:rFonts w:ascii="Arial" w:hAnsi="Arial" w:cs="Arial"/>
                <w:i/>
                <w:iCs/>
                <w:sz w:val="22"/>
                <w:szCs w:val="22"/>
              </w:rPr>
            </w:pPr>
            <w:r w:rsidRPr="009E1BE1">
              <w:rPr>
                <w:rFonts w:ascii="Arial" w:hAnsi="Arial" w:cs="Arial"/>
                <w:i/>
                <w:iCs/>
                <w:sz w:val="22"/>
                <w:szCs w:val="22"/>
              </w:rPr>
              <w:t> </w:t>
            </w:r>
          </w:p>
          <w:p w:rsidR="00E6164D" w:rsidRDefault="00E6164D" w:rsidP="00E6164D">
            <w:pPr>
              <w:rPr>
                <w:rFonts w:ascii="Arial" w:hAnsi="Arial" w:cs="Arial"/>
                <w:b/>
                <w:bCs/>
                <w:color w:val="FF0000"/>
              </w:rPr>
            </w:pPr>
            <w:r>
              <w:rPr>
                <w:rFonts w:ascii="Arial" w:hAnsi="Arial" w:cs="Arial"/>
                <w:b/>
                <w:bCs/>
                <w:color w:val="FF0000"/>
              </w:rPr>
              <w:t>Open Portion:</w:t>
            </w:r>
          </w:p>
          <w:p w:rsidR="00E6164D" w:rsidRDefault="00E6164D" w:rsidP="00E6164D">
            <w:pPr>
              <w:rPr>
                <w:rFonts w:ascii="Arial" w:hAnsi="Arial" w:cs="Arial"/>
                <w:b/>
                <w:bCs/>
                <w:color w:val="FF0000"/>
                <w:sz w:val="22"/>
                <w:szCs w:val="22"/>
              </w:rPr>
            </w:pPr>
          </w:p>
          <w:p w:rsidR="00E6164D" w:rsidRPr="00B6341B" w:rsidRDefault="00E6164D" w:rsidP="00E6164D">
            <w:pPr>
              <w:pStyle w:val="ListParagraph"/>
              <w:numPr>
                <w:ilvl w:val="0"/>
                <w:numId w:val="27"/>
              </w:numPr>
              <w:rPr>
                <w:rFonts w:ascii="Arial" w:hAnsi="Arial" w:cs="Arial"/>
              </w:rPr>
            </w:pPr>
            <w:r w:rsidRPr="00B6341B">
              <w:rPr>
                <w:rFonts w:ascii="Arial" w:hAnsi="Arial" w:cs="Arial"/>
              </w:rPr>
              <w:t xml:space="preserve">Approve </w:t>
            </w:r>
            <w:r w:rsidR="007F5F92">
              <w:rPr>
                <w:rFonts w:ascii="Arial" w:hAnsi="Arial" w:cs="Arial"/>
              </w:rPr>
              <w:t>April,</w:t>
            </w:r>
            <w:r w:rsidR="00BA5940">
              <w:rPr>
                <w:rFonts w:ascii="Arial" w:hAnsi="Arial" w:cs="Arial"/>
              </w:rPr>
              <w:t xml:space="preserve"> </w:t>
            </w:r>
            <w:r w:rsidR="00CE4FCE">
              <w:rPr>
                <w:rFonts w:ascii="Arial" w:hAnsi="Arial" w:cs="Arial"/>
              </w:rPr>
              <w:t>2014</w:t>
            </w:r>
            <w:r w:rsidRPr="00B6341B">
              <w:rPr>
                <w:rFonts w:ascii="Arial" w:hAnsi="Arial" w:cs="Arial"/>
              </w:rPr>
              <w:t xml:space="preserve"> meeting notes</w:t>
            </w:r>
          </w:p>
          <w:p w:rsidR="00E6164D" w:rsidRDefault="00BA5940" w:rsidP="00E6164D">
            <w:pPr>
              <w:pStyle w:val="ListParagraph"/>
              <w:numPr>
                <w:ilvl w:val="0"/>
                <w:numId w:val="26"/>
              </w:numPr>
              <w:rPr>
                <w:rFonts w:ascii="Arial" w:hAnsi="Arial" w:cs="Arial"/>
              </w:rPr>
            </w:pPr>
            <w:r>
              <w:rPr>
                <w:rFonts w:ascii="Arial" w:hAnsi="Arial" w:cs="Arial"/>
              </w:rPr>
              <w:t xml:space="preserve">Review </w:t>
            </w:r>
            <w:r w:rsidR="007F5F92">
              <w:rPr>
                <w:rFonts w:ascii="Arial" w:hAnsi="Arial" w:cs="Arial"/>
              </w:rPr>
              <w:t>April</w:t>
            </w:r>
            <w:r w:rsidR="00E6164D" w:rsidRPr="00B6341B">
              <w:rPr>
                <w:rFonts w:ascii="Arial" w:hAnsi="Arial" w:cs="Arial"/>
              </w:rPr>
              <w:t xml:space="preserve"> NANP Report (Welch)</w:t>
            </w:r>
          </w:p>
          <w:p w:rsidR="007F5F92" w:rsidRDefault="007F5F92" w:rsidP="00E6164D">
            <w:pPr>
              <w:pStyle w:val="ListParagraph"/>
              <w:numPr>
                <w:ilvl w:val="0"/>
                <w:numId w:val="26"/>
              </w:numPr>
              <w:rPr>
                <w:rFonts w:ascii="Arial" w:hAnsi="Arial" w:cs="Arial"/>
              </w:rPr>
            </w:pPr>
            <w:r>
              <w:rPr>
                <w:rFonts w:ascii="Arial" w:hAnsi="Arial" w:cs="Arial"/>
              </w:rPr>
              <w:t>Discuss movement of funding year</w:t>
            </w:r>
          </w:p>
          <w:p w:rsidR="00044EE8" w:rsidRDefault="00044EE8" w:rsidP="00E6164D">
            <w:pPr>
              <w:pStyle w:val="ListParagraph"/>
              <w:numPr>
                <w:ilvl w:val="0"/>
                <w:numId w:val="26"/>
              </w:numPr>
              <w:rPr>
                <w:rFonts w:ascii="Arial" w:hAnsi="Arial" w:cs="Arial"/>
              </w:rPr>
            </w:pPr>
            <w:r>
              <w:rPr>
                <w:rFonts w:ascii="Arial" w:hAnsi="Arial" w:cs="Arial"/>
              </w:rPr>
              <w:t>Discuss contract extension (any news?)</w:t>
            </w:r>
          </w:p>
          <w:p w:rsidR="00E6164D" w:rsidRDefault="00E6164D" w:rsidP="00E6164D">
            <w:pPr>
              <w:ind w:left="360"/>
              <w:rPr>
                <w:rFonts w:ascii="Arial" w:hAnsi="Arial" w:cs="Arial"/>
              </w:rPr>
            </w:pPr>
          </w:p>
          <w:p w:rsidR="00E6164D" w:rsidRDefault="00E6164D" w:rsidP="00E6164D">
            <w:pPr>
              <w:rPr>
                <w:rFonts w:ascii="Arial" w:hAnsi="Arial" w:cs="Arial"/>
                <w:b/>
                <w:bCs/>
              </w:rPr>
            </w:pPr>
          </w:p>
          <w:p w:rsidR="00E6164D" w:rsidRDefault="00E6164D" w:rsidP="00E6164D">
            <w:pPr>
              <w:rPr>
                <w:rFonts w:ascii="Arial" w:hAnsi="Arial" w:cs="Arial"/>
                <w:b/>
                <w:bCs/>
                <w:color w:val="FF0000"/>
              </w:rPr>
            </w:pPr>
            <w:r>
              <w:rPr>
                <w:rFonts w:ascii="Arial" w:hAnsi="Arial" w:cs="Arial"/>
                <w:b/>
                <w:bCs/>
                <w:color w:val="FF0000"/>
              </w:rPr>
              <w:t>Closed Portion:</w:t>
            </w:r>
          </w:p>
          <w:p w:rsidR="00E6164D" w:rsidRDefault="00E6164D" w:rsidP="00E6164D">
            <w:pPr>
              <w:rPr>
                <w:rFonts w:ascii="Arial" w:hAnsi="Arial" w:cs="Arial"/>
                <w:b/>
                <w:bCs/>
                <w:color w:val="FF0000"/>
              </w:rPr>
            </w:pPr>
          </w:p>
          <w:p w:rsidR="00C14666" w:rsidRDefault="00C14666" w:rsidP="00E6164D">
            <w:pPr>
              <w:pStyle w:val="ListParagraph"/>
              <w:numPr>
                <w:ilvl w:val="0"/>
                <w:numId w:val="25"/>
              </w:numPr>
              <w:rPr>
                <w:rFonts w:ascii="Arial" w:hAnsi="Arial" w:cs="Arial"/>
              </w:rPr>
            </w:pPr>
            <w:r>
              <w:rPr>
                <w:rFonts w:ascii="Arial" w:hAnsi="Arial" w:cs="Arial"/>
              </w:rPr>
              <w:t xml:space="preserve">Deliverable Doc </w:t>
            </w:r>
          </w:p>
          <w:p w:rsidR="00E6164D" w:rsidRDefault="00E6164D" w:rsidP="00E6164D">
            <w:pPr>
              <w:rPr>
                <w:rFonts w:ascii="Arial" w:hAnsi="Arial" w:cs="Arial"/>
                <w:i/>
                <w:iCs/>
                <w:sz w:val="22"/>
                <w:szCs w:val="22"/>
              </w:rPr>
            </w:pPr>
          </w:p>
          <w:p w:rsidR="00E6164D" w:rsidRPr="009E1BE1" w:rsidRDefault="00E6164D" w:rsidP="0088091E">
            <w:pPr>
              <w:jc w:val="center"/>
              <w:rPr>
                <w:rFonts w:ascii="Arial" w:hAnsi="Arial" w:cs="Arial"/>
                <w:i/>
                <w:iCs/>
                <w:sz w:val="22"/>
                <w:szCs w:val="22"/>
              </w:rPr>
            </w:pP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9"/>
      <w:footerReference w:type="even" r:id="rId10"/>
      <w:footerReference w:type="default" r:id="rId11"/>
      <w:headerReference w:type="first" r:id="rId12"/>
      <w:footerReference w:type="first" r:id="rId13"/>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A5" w:rsidRDefault="004D1EA5">
      <w:r>
        <w:separator/>
      </w:r>
    </w:p>
  </w:endnote>
  <w:endnote w:type="continuationSeparator" w:id="0">
    <w:p w:rsidR="004D1EA5" w:rsidRDefault="004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251">
      <w:rPr>
        <w:rStyle w:val="PageNumber"/>
        <w:noProof/>
      </w:rPr>
      <w:t>2</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4D1EA5">
      <w:fldChar w:fldCharType="begin"/>
    </w:r>
    <w:r w:rsidR="004D1EA5">
      <w:instrText xml:space="preserve"> REF DocVersion </w:instrText>
    </w:r>
    <w:r w:rsidR="004D1EA5">
      <w:fldChar w:fldCharType="separate"/>
    </w:r>
    <w:r>
      <w:instrText xml:space="preserve">1 </w:instrText>
    </w:r>
    <w:r w:rsidR="004D1EA5">
      <w:fldChar w:fldCharType="end"/>
    </w:r>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4D1EA5">
      <w:fldChar w:fldCharType="begin"/>
    </w:r>
    <w:r w:rsidR="004D1EA5">
      <w:instrText xml:space="preserve"> REF DocVersi</w:instrText>
    </w:r>
    <w:r w:rsidR="004D1EA5">
      <w:instrText xml:space="preserve">on </w:instrText>
    </w:r>
    <w:r w:rsidR="004D1EA5">
      <w:fldChar w:fldCharType="separate"/>
    </w:r>
    <w:r>
      <w:instrText xml:space="preserve"> 1 </w:instrText>
    </w:r>
    <w:r w:rsidR="004D1EA5">
      <w:fldChar w:fldCharType="end"/>
    </w:r>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C12251">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C12251">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C12251">
      <w:rPr>
        <w:rStyle w:val="PageNumber"/>
        <w:noProof/>
      </w:rPr>
      <w:t>6</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A5" w:rsidRDefault="004D1EA5">
      <w:r>
        <w:separator/>
      </w:r>
    </w:p>
  </w:footnote>
  <w:footnote w:type="continuationSeparator" w:id="0">
    <w:p w:rsidR="004D1EA5" w:rsidRDefault="004D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4D1EA5">
      <w:fldChar w:fldCharType="begin"/>
    </w:r>
    <w:r w:rsidR="004D1EA5">
      <w:instrText xml:space="preserve"> REF DocControlNumber </w:instrText>
    </w:r>
    <w:r w:rsidR="004D1EA5">
      <w:fldChar w:fldCharType="separate"/>
    </w:r>
    <w:r>
      <w:rPr>
        <w:rStyle w:val="HighlightedVariable"/>
      </w:rPr>
      <w:instrText>&lt;Document Control Number&gt;</w:instrText>
    </w:r>
    <w:r>
      <w:instrText xml:space="preserve"> </w:instrText>
    </w:r>
    <w:r w:rsidR="004D1EA5">
      <w:fldChar w:fldCharType="end"/>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4D1EA5">
      <w:fldChar w:fldCharType="begin"/>
    </w:r>
    <w:r w:rsidR="004D1EA5">
      <w:instrText xml:space="preserve"> REF DocControlNumber </w:instrText>
    </w:r>
    <w:r w:rsidR="004D1EA5">
      <w:fldChar w:fldCharType="separate"/>
    </w:r>
    <w:r>
      <w:instrText xml:space="preserve"> </w:instrText>
    </w:r>
    <w:r>
      <w:rPr>
        <w:rStyle w:val="HighlightedVariable"/>
      </w:rPr>
      <w:instrText>&lt;Document Control Number&gt;</w:instrText>
    </w:r>
    <w:r>
      <w:instrText xml:space="preserve"> </w:instrText>
    </w:r>
    <w:r w:rsidR="004D1EA5">
      <w:fldChar w:fldCharType="end"/>
    </w:r>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117F34"/>
    <w:multiLevelType w:val="hybridMultilevel"/>
    <w:tmpl w:val="E8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3BDB"/>
    <w:multiLevelType w:val="hybridMultilevel"/>
    <w:tmpl w:val="0D6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6230E"/>
    <w:multiLevelType w:val="hybridMultilevel"/>
    <w:tmpl w:val="349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30BE2"/>
    <w:multiLevelType w:val="hybridMultilevel"/>
    <w:tmpl w:val="324AACAE"/>
    <w:lvl w:ilvl="0" w:tplc="29BEE792">
      <w:start w:val="1"/>
      <w:numFmt w:val="decimal"/>
      <w:lvlText w:val="%1."/>
      <w:lvlJc w:val="left"/>
      <w:pPr>
        <w:ind w:left="720" w:hanging="360"/>
      </w:pPr>
      <w:rPr>
        <w:rFonts w:ascii="TimesNewRoman" w:eastAsia="Times New Roman" w:hAnsi="TimesNew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D58E2"/>
    <w:multiLevelType w:val="hybridMultilevel"/>
    <w:tmpl w:val="333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32373"/>
    <w:multiLevelType w:val="hybridMultilevel"/>
    <w:tmpl w:val="422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9525C"/>
    <w:multiLevelType w:val="hybridMultilevel"/>
    <w:tmpl w:val="9E0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12500"/>
    <w:multiLevelType w:val="hybridMultilevel"/>
    <w:tmpl w:val="E914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D03740"/>
    <w:multiLevelType w:val="hybridMultilevel"/>
    <w:tmpl w:val="A4DC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F64C6"/>
    <w:multiLevelType w:val="hybridMultilevel"/>
    <w:tmpl w:val="A27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36762"/>
    <w:multiLevelType w:val="hybridMultilevel"/>
    <w:tmpl w:val="C8F62C14"/>
    <w:lvl w:ilvl="0" w:tplc="68D06C54">
      <w:start w:val="1"/>
      <w:numFmt w:val="bullet"/>
      <w:lvlText w:val="•"/>
      <w:lvlJc w:val="left"/>
      <w:pPr>
        <w:tabs>
          <w:tab w:val="num" w:pos="720"/>
        </w:tabs>
        <w:ind w:left="720" w:hanging="360"/>
      </w:pPr>
      <w:rPr>
        <w:rFonts w:ascii="Times New Roman" w:hAnsi="Times New Roman" w:hint="default"/>
      </w:rPr>
    </w:lvl>
    <w:lvl w:ilvl="1" w:tplc="70225414" w:tentative="1">
      <w:start w:val="1"/>
      <w:numFmt w:val="bullet"/>
      <w:lvlText w:val="•"/>
      <w:lvlJc w:val="left"/>
      <w:pPr>
        <w:tabs>
          <w:tab w:val="num" w:pos="1440"/>
        </w:tabs>
        <w:ind w:left="1440" w:hanging="360"/>
      </w:pPr>
      <w:rPr>
        <w:rFonts w:ascii="Times New Roman" w:hAnsi="Times New Roman" w:hint="default"/>
      </w:rPr>
    </w:lvl>
    <w:lvl w:ilvl="2" w:tplc="E936493E" w:tentative="1">
      <w:start w:val="1"/>
      <w:numFmt w:val="bullet"/>
      <w:lvlText w:val="•"/>
      <w:lvlJc w:val="left"/>
      <w:pPr>
        <w:tabs>
          <w:tab w:val="num" w:pos="2160"/>
        </w:tabs>
        <w:ind w:left="2160" w:hanging="360"/>
      </w:pPr>
      <w:rPr>
        <w:rFonts w:ascii="Times New Roman" w:hAnsi="Times New Roman" w:hint="default"/>
      </w:rPr>
    </w:lvl>
    <w:lvl w:ilvl="3" w:tplc="42B2307A" w:tentative="1">
      <w:start w:val="1"/>
      <w:numFmt w:val="bullet"/>
      <w:lvlText w:val="•"/>
      <w:lvlJc w:val="left"/>
      <w:pPr>
        <w:tabs>
          <w:tab w:val="num" w:pos="2880"/>
        </w:tabs>
        <w:ind w:left="2880" w:hanging="360"/>
      </w:pPr>
      <w:rPr>
        <w:rFonts w:ascii="Times New Roman" w:hAnsi="Times New Roman" w:hint="default"/>
      </w:rPr>
    </w:lvl>
    <w:lvl w:ilvl="4" w:tplc="0B24B158" w:tentative="1">
      <w:start w:val="1"/>
      <w:numFmt w:val="bullet"/>
      <w:lvlText w:val="•"/>
      <w:lvlJc w:val="left"/>
      <w:pPr>
        <w:tabs>
          <w:tab w:val="num" w:pos="3600"/>
        </w:tabs>
        <w:ind w:left="3600" w:hanging="360"/>
      </w:pPr>
      <w:rPr>
        <w:rFonts w:ascii="Times New Roman" w:hAnsi="Times New Roman" w:hint="default"/>
      </w:rPr>
    </w:lvl>
    <w:lvl w:ilvl="5" w:tplc="F2F681C2" w:tentative="1">
      <w:start w:val="1"/>
      <w:numFmt w:val="bullet"/>
      <w:lvlText w:val="•"/>
      <w:lvlJc w:val="left"/>
      <w:pPr>
        <w:tabs>
          <w:tab w:val="num" w:pos="4320"/>
        </w:tabs>
        <w:ind w:left="4320" w:hanging="360"/>
      </w:pPr>
      <w:rPr>
        <w:rFonts w:ascii="Times New Roman" w:hAnsi="Times New Roman" w:hint="default"/>
      </w:rPr>
    </w:lvl>
    <w:lvl w:ilvl="6" w:tplc="5B10F814" w:tentative="1">
      <w:start w:val="1"/>
      <w:numFmt w:val="bullet"/>
      <w:lvlText w:val="•"/>
      <w:lvlJc w:val="left"/>
      <w:pPr>
        <w:tabs>
          <w:tab w:val="num" w:pos="5040"/>
        </w:tabs>
        <w:ind w:left="5040" w:hanging="360"/>
      </w:pPr>
      <w:rPr>
        <w:rFonts w:ascii="Times New Roman" w:hAnsi="Times New Roman" w:hint="default"/>
      </w:rPr>
    </w:lvl>
    <w:lvl w:ilvl="7" w:tplc="D0C6EEC4" w:tentative="1">
      <w:start w:val="1"/>
      <w:numFmt w:val="bullet"/>
      <w:lvlText w:val="•"/>
      <w:lvlJc w:val="left"/>
      <w:pPr>
        <w:tabs>
          <w:tab w:val="num" w:pos="5760"/>
        </w:tabs>
        <w:ind w:left="5760" w:hanging="360"/>
      </w:pPr>
      <w:rPr>
        <w:rFonts w:ascii="Times New Roman" w:hAnsi="Times New Roman" w:hint="default"/>
      </w:rPr>
    </w:lvl>
    <w:lvl w:ilvl="8" w:tplc="7040E4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0C7F8E"/>
    <w:multiLevelType w:val="hybridMultilevel"/>
    <w:tmpl w:val="4B8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A0213"/>
    <w:multiLevelType w:val="hybridMultilevel"/>
    <w:tmpl w:val="7C8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04FD1"/>
    <w:multiLevelType w:val="hybridMultilevel"/>
    <w:tmpl w:val="148C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6"/>
  </w:num>
  <w:num w:numId="5">
    <w:abstractNumId w:val="23"/>
  </w:num>
  <w:num w:numId="6">
    <w:abstractNumId w:val="20"/>
  </w:num>
  <w:num w:numId="7">
    <w:abstractNumId w:val="0"/>
  </w:num>
  <w:num w:numId="8">
    <w:abstractNumId w:val="23"/>
  </w:num>
  <w:num w:numId="9">
    <w:abstractNumId w:val="20"/>
  </w:num>
  <w:num w:numId="10">
    <w:abstractNumId w:val="11"/>
  </w:num>
  <w:num w:numId="11">
    <w:abstractNumId w:val="23"/>
  </w:num>
  <w:num w:numId="12">
    <w:abstractNumId w:val="20"/>
  </w:num>
  <w:num w:numId="13">
    <w:abstractNumId w:val="21"/>
  </w:num>
  <w:num w:numId="14">
    <w:abstractNumId w:val="3"/>
  </w:num>
  <w:num w:numId="15">
    <w:abstractNumId w:val="23"/>
  </w:num>
  <w:num w:numId="16">
    <w:abstractNumId w:val="6"/>
  </w:num>
  <w:num w:numId="17">
    <w:abstractNumId w:val="4"/>
  </w:num>
  <w:num w:numId="18">
    <w:abstractNumId w:val="15"/>
  </w:num>
  <w:num w:numId="19">
    <w:abstractNumId w:val="23"/>
  </w:num>
  <w:num w:numId="20">
    <w:abstractNumId w:val="20"/>
  </w:num>
  <w:num w:numId="21">
    <w:abstractNumId w:val="18"/>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9"/>
  </w:num>
  <w:num w:numId="26">
    <w:abstractNumId w:val="9"/>
  </w:num>
  <w:num w:numId="27">
    <w:abstractNumId w:val="5"/>
  </w:num>
  <w:num w:numId="28">
    <w:abstractNumId w:val="5"/>
  </w:num>
  <w:num w:numId="29">
    <w:abstractNumId w:val="9"/>
  </w:num>
  <w:num w:numId="30">
    <w:abstractNumId w:val="2"/>
  </w:num>
  <w:num w:numId="31">
    <w:abstractNumId w:val="1"/>
  </w:num>
  <w:num w:numId="32">
    <w:abstractNumId w:val="7"/>
  </w:num>
  <w:num w:numId="33">
    <w:abstractNumId w:val="8"/>
  </w:num>
  <w:num w:numId="34">
    <w:abstractNumId w:val="5"/>
  </w:num>
  <w:num w:numId="35">
    <w:abstractNumId w:val="9"/>
  </w:num>
  <w:num w:numId="36">
    <w:abstractNumId w:val="19"/>
  </w:num>
  <w:num w:numId="37">
    <w:abstractNumId w:val="13"/>
  </w:num>
  <w:num w:numId="38">
    <w:abstractNumId w:val="17"/>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4EE8"/>
    <w:rsid w:val="000466A2"/>
    <w:rsid w:val="00052714"/>
    <w:rsid w:val="00053DBD"/>
    <w:rsid w:val="000601AC"/>
    <w:rsid w:val="00062D96"/>
    <w:rsid w:val="00062F62"/>
    <w:rsid w:val="0006305C"/>
    <w:rsid w:val="0006552B"/>
    <w:rsid w:val="0006559E"/>
    <w:rsid w:val="00070B47"/>
    <w:rsid w:val="000771BD"/>
    <w:rsid w:val="00081866"/>
    <w:rsid w:val="00081EAD"/>
    <w:rsid w:val="0008216C"/>
    <w:rsid w:val="00083ED0"/>
    <w:rsid w:val="00087150"/>
    <w:rsid w:val="000906D3"/>
    <w:rsid w:val="00092596"/>
    <w:rsid w:val="00097363"/>
    <w:rsid w:val="000A1802"/>
    <w:rsid w:val="000A3E8E"/>
    <w:rsid w:val="000B16B4"/>
    <w:rsid w:val="000B5BC9"/>
    <w:rsid w:val="000B6031"/>
    <w:rsid w:val="000B649F"/>
    <w:rsid w:val="000C17EE"/>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4CA7"/>
    <w:rsid w:val="0011587C"/>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64CA"/>
    <w:rsid w:val="00167F60"/>
    <w:rsid w:val="001703F7"/>
    <w:rsid w:val="00181C4D"/>
    <w:rsid w:val="00182276"/>
    <w:rsid w:val="00184A98"/>
    <w:rsid w:val="00186443"/>
    <w:rsid w:val="00194AC6"/>
    <w:rsid w:val="00197420"/>
    <w:rsid w:val="001A0DF3"/>
    <w:rsid w:val="001A3D1D"/>
    <w:rsid w:val="001A513D"/>
    <w:rsid w:val="001A54D8"/>
    <w:rsid w:val="001B29C3"/>
    <w:rsid w:val="001B4EF9"/>
    <w:rsid w:val="001B77EC"/>
    <w:rsid w:val="001C32EA"/>
    <w:rsid w:val="001C36C6"/>
    <w:rsid w:val="001D33B9"/>
    <w:rsid w:val="001D48C2"/>
    <w:rsid w:val="001D7D13"/>
    <w:rsid w:val="001E116D"/>
    <w:rsid w:val="001E24B8"/>
    <w:rsid w:val="001E33FF"/>
    <w:rsid w:val="001E3B76"/>
    <w:rsid w:val="001E3D08"/>
    <w:rsid w:val="001E5EF5"/>
    <w:rsid w:val="001F152C"/>
    <w:rsid w:val="001F3311"/>
    <w:rsid w:val="001F3AA7"/>
    <w:rsid w:val="001F48DD"/>
    <w:rsid w:val="0020102E"/>
    <w:rsid w:val="00205FEF"/>
    <w:rsid w:val="00206D10"/>
    <w:rsid w:val="00211F97"/>
    <w:rsid w:val="00212D8C"/>
    <w:rsid w:val="00213289"/>
    <w:rsid w:val="00216693"/>
    <w:rsid w:val="002178C2"/>
    <w:rsid w:val="00221056"/>
    <w:rsid w:val="00221D4C"/>
    <w:rsid w:val="0022238B"/>
    <w:rsid w:val="002232D0"/>
    <w:rsid w:val="0022515B"/>
    <w:rsid w:val="0022708F"/>
    <w:rsid w:val="00230F57"/>
    <w:rsid w:val="0023115D"/>
    <w:rsid w:val="002312F4"/>
    <w:rsid w:val="00233777"/>
    <w:rsid w:val="00235AD9"/>
    <w:rsid w:val="00236391"/>
    <w:rsid w:val="0023759C"/>
    <w:rsid w:val="00240757"/>
    <w:rsid w:val="00243E2D"/>
    <w:rsid w:val="002500EF"/>
    <w:rsid w:val="00250AF6"/>
    <w:rsid w:val="002522F7"/>
    <w:rsid w:val="00253DB4"/>
    <w:rsid w:val="002545DF"/>
    <w:rsid w:val="0026072B"/>
    <w:rsid w:val="00261107"/>
    <w:rsid w:val="00266958"/>
    <w:rsid w:val="00266979"/>
    <w:rsid w:val="00270B12"/>
    <w:rsid w:val="0027169F"/>
    <w:rsid w:val="00271DA5"/>
    <w:rsid w:val="00277E9C"/>
    <w:rsid w:val="0028159C"/>
    <w:rsid w:val="00281E4C"/>
    <w:rsid w:val="00282C92"/>
    <w:rsid w:val="0028316A"/>
    <w:rsid w:val="002845B2"/>
    <w:rsid w:val="0029226C"/>
    <w:rsid w:val="0029583D"/>
    <w:rsid w:val="00296480"/>
    <w:rsid w:val="00297484"/>
    <w:rsid w:val="002977AF"/>
    <w:rsid w:val="00297FC6"/>
    <w:rsid w:val="002A5D91"/>
    <w:rsid w:val="002A5D93"/>
    <w:rsid w:val="002B0046"/>
    <w:rsid w:val="002B4325"/>
    <w:rsid w:val="002B4463"/>
    <w:rsid w:val="002B632E"/>
    <w:rsid w:val="002B6515"/>
    <w:rsid w:val="002C295C"/>
    <w:rsid w:val="002C4357"/>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07420"/>
    <w:rsid w:val="00310A93"/>
    <w:rsid w:val="00311669"/>
    <w:rsid w:val="00315BC3"/>
    <w:rsid w:val="0031673D"/>
    <w:rsid w:val="003259F8"/>
    <w:rsid w:val="00325D61"/>
    <w:rsid w:val="00326722"/>
    <w:rsid w:val="003275DA"/>
    <w:rsid w:val="0033152E"/>
    <w:rsid w:val="0033548D"/>
    <w:rsid w:val="00341CA0"/>
    <w:rsid w:val="00342540"/>
    <w:rsid w:val="00342C41"/>
    <w:rsid w:val="00342E05"/>
    <w:rsid w:val="003439FF"/>
    <w:rsid w:val="00346213"/>
    <w:rsid w:val="003468DE"/>
    <w:rsid w:val="00347675"/>
    <w:rsid w:val="00347BD4"/>
    <w:rsid w:val="00353004"/>
    <w:rsid w:val="00354359"/>
    <w:rsid w:val="0035470A"/>
    <w:rsid w:val="003620DE"/>
    <w:rsid w:val="003621E2"/>
    <w:rsid w:val="0036288A"/>
    <w:rsid w:val="003646AC"/>
    <w:rsid w:val="0036510E"/>
    <w:rsid w:val="00365E8E"/>
    <w:rsid w:val="00366E73"/>
    <w:rsid w:val="00366E90"/>
    <w:rsid w:val="00371FDC"/>
    <w:rsid w:val="00374780"/>
    <w:rsid w:val="00382E46"/>
    <w:rsid w:val="00383BB7"/>
    <w:rsid w:val="00384F9D"/>
    <w:rsid w:val="00391F4E"/>
    <w:rsid w:val="00392D80"/>
    <w:rsid w:val="00393568"/>
    <w:rsid w:val="00393E0B"/>
    <w:rsid w:val="00394449"/>
    <w:rsid w:val="003A2320"/>
    <w:rsid w:val="003A5861"/>
    <w:rsid w:val="003B13FB"/>
    <w:rsid w:val="003B2DA3"/>
    <w:rsid w:val="003B2DCC"/>
    <w:rsid w:val="003B31EC"/>
    <w:rsid w:val="003B5680"/>
    <w:rsid w:val="003B74EF"/>
    <w:rsid w:val="003C080D"/>
    <w:rsid w:val="003C1316"/>
    <w:rsid w:val="003C2C71"/>
    <w:rsid w:val="003C51E1"/>
    <w:rsid w:val="003C6C8A"/>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5462"/>
    <w:rsid w:val="00406403"/>
    <w:rsid w:val="00406C75"/>
    <w:rsid w:val="00411C40"/>
    <w:rsid w:val="00414F23"/>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4673"/>
    <w:rsid w:val="00466BA7"/>
    <w:rsid w:val="00467DE3"/>
    <w:rsid w:val="004761BF"/>
    <w:rsid w:val="004777E6"/>
    <w:rsid w:val="00480271"/>
    <w:rsid w:val="004819B1"/>
    <w:rsid w:val="004858DF"/>
    <w:rsid w:val="004861CB"/>
    <w:rsid w:val="0049288F"/>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D1EA5"/>
    <w:rsid w:val="004E0E9C"/>
    <w:rsid w:val="004E14A5"/>
    <w:rsid w:val="004E164A"/>
    <w:rsid w:val="004E1968"/>
    <w:rsid w:val="004E1F4C"/>
    <w:rsid w:val="004E26A0"/>
    <w:rsid w:val="004F20B4"/>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309D"/>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94E"/>
    <w:rsid w:val="00567BC0"/>
    <w:rsid w:val="00573D18"/>
    <w:rsid w:val="00574E8B"/>
    <w:rsid w:val="0058099B"/>
    <w:rsid w:val="00581417"/>
    <w:rsid w:val="00582DF7"/>
    <w:rsid w:val="0058596D"/>
    <w:rsid w:val="00587D28"/>
    <w:rsid w:val="005906AB"/>
    <w:rsid w:val="00590CE5"/>
    <w:rsid w:val="00593403"/>
    <w:rsid w:val="00597B93"/>
    <w:rsid w:val="005A4462"/>
    <w:rsid w:val="005B1B3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27CCB"/>
    <w:rsid w:val="00630DF7"/>
    <w:rsid w:val="00634C2E"/>
    <w:rsid w:val="00640EE8"/>
    <w:rsid w:val="00643728"/>
    <w:rsid w:val="00644813"/>
    <w:rsid w:val="00646754"/>
    <w:rsid w:val="00653418"/>
    <w:rsid w:val="00653641"/>
    <w:rsid w:val="0065566C"/>
    <w:rsid w:val="006620A7"/>
    <w:rsid w:val="00663ADD"/>
    <w:rsid w:val="00665D28"/>
    <w:rsid w:val="0066659D"/>
    <w:rsid w:val="006671C1"/>
    <w:rsid w:val="0066785D"/>
    <w:rsid w:val="00667AD6"/>
    <w:rsid w:val="00667DBE"/>
    <w:rsid w:val="00670773"/>
    <w:rsid w:val="00672AAD"/>
    <w:rsid w:val="00673A68"/>
    <w:rsid w:val="0067530E"/>
    <w:rsid w:val="00676588"/>
    <w:rsid w:val="00677B02"/>
    <w:rsid w:val="00680DA1"/>
    <w:rsid w:val="006811B8"/>
    <w:rsid w:val="00681697"/>
    <w:rsid w:val="0068301E"/>
    <w:rsid w:val="00685469"/>
    <w:rsid w:val="00690AB0"/>
    <w:rsid w:val="00691996"/>
    <w:rsid w:val="00692FEB"/>
    <w:rsid w:val="00695B52"/>
    <w:rsid w:val="00696AA1"/>
    <w:rsid w:val="006A00F3"/>
    <w:rsid w:val="006A0911"/>
    <w:rsid w:val="006A1906"/>
    <w:rsid w:val="006A284C"/>
    <w:rsid w:val="006A34AC"/>
    <w:rsid w:val="006B42F7"/>
    <w:rsid w:val="006B46F5"/>
    <w:rsid w:val="006B70E3"/>
    <w:rsid w:val="006C036E"/>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118C"/>
    <w:rsid w:val="006E3378"/>
    <w:rsid w:val="006E446B"/>
    <w:rsid w:val="006E5C5A"/>
    <w:rsid w:val="006F1250"/>
    <w:rsid w:val="006F499F"/>
    <w:rsid w:val="006F7C34"/>
    <w:rsid w:val="00700680"/>
    <w:rsid w:val="00702B18"/>
    <w:rsid w:val="00705488"/>
    <w:rsid w:val="00705D46"/>
    <w:rsid w:val="007067DE"/>
    <w:rsid w:val="00706FDD"/>
    <w:rsid w:val="0070706E"/>
    <w:rsid w:val="007134BA"/>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5FC5"/>
    <w:rsid w:val="007466C7"/>
    <w:rsid w:val="00746F56"/>
    <w:rsid w:val="00747A8A"/>
    <w:rsid w:val="00751686"/>
    <w:rsid w:val="0075390E"/>
    <w:rsid w:val="0075499F"/>
    <w:rsid w:val="00756FB1"/>
    <w:rsid w:val="00762F22"/>
    <w:rsid w:val="00764625"/>
    <w:rsid w:val="00765AE5"/>
    <w:rsid w:val="0076615C"/>
    <w:rsid w:val="00780714"/>
    <w:rsid w:val="00782167"/>
    <w:rsid w:val="007862CD"/>
    <w:rsid w:val="00786581"/>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72"/>
    <w:rsid w:val="007B05F2"/>
    <w:rsid w:val="007B6572"/>
    <w:rsid w:val="007C62EE"/>
    <w:rsid w:val="007C76DD"/>
    <w:rsid w:val="007C7CD4"/>
    <w:rsid w:val="007D4E6F"/>
    <w:rsid w:val="007D4FCC"/>
    <w:rsid w:val="007D5806"/>
    <w:rsid w:val="007E04D7"/>
    <w:rsid w:val="007E04DA"/>
    <w:rsid w:val="007E3F90"/>
    <w:rsid w:val="007E57FD"/>
    <w:rsid w:val="007E738A"/>
    <w:rsid w:val="007F0291"/>
    <w:rsid w:val="007F0404"/>
    <w:rsid w:val="007F5F92"/>
    <w:rsid w:val="007F7613"/>
    <w:rsid w:val="008014CD"/>
    <w:rsid w:val="00801B60"/>
    <w:rsid w:val="00802CFF"/>
    <w:rsid w:val="008039F3"/>
    <w:rsid w:val="008100C3"/>
    <w:rsid w:val="00810DC0"/>
    <w:rsid w:val="00812CE7"/>
    <w:rsid w:val="00812DC5"/>
    <w:rsid w:val="00824A4B"/>
    <w:rsid w:val="00825952"/>
    <w:rsid w:val="00825B19"/>
    <w:rsid w:val="00826910"/>
    <w:rsid w:val="00826A60"/>
    <w:rsid w:val="00830916"/>
    <w:rsid w:val="0083174B"/>
    <w:rsid w:val="00834006"/>
    <w:rsid w:val="008340F9"/>
    <w:rsid w:val="00836B3B"/>
    <w:rsid w:val="00836E45"/>
    <w:rsid w:val="00840B62"/>
    <w:rsid w:val="00844F8D"/>
    <w:rsid w:val="008478A6"/>
    <w:rsid w:val="008478DC"/>
    <w:rsid w:val="0085114F"/>
    <w:rsid w:val="0085269D"/>
    <w:rsid w:val="008542C3"/>
    <w:rsid w:val="00855F3C"/>
    <w:rsid w:val="00860830"/>
    <w:rsid w:val="00860E95"/>
    <w:rsid w:val="00862F09"/>
    <w:rsid w:val="008645AC"/>
    <w:rsid w:val="00864A7E"/>
    <w:rsid w:val="00867480"/>
    <w:rsid w:val="0087041A"/>
    <w:rsid w:val="00874A60"/>
    <w:rsid w:val="008759B5"/>
    <w:rsid w:val="0088091E"/>
    <w:rsid w:val="00880DCD"/>
    <w:rsid w:val="00881FE5"/>
    <w:rsid w:val="0088383C"/>
    <w:rsid w:val="00890414"/>
    <w:rsid w:val="00893B2A"/>
    <w:rsid w:val="00896B4B"/>
    <w:rsid w:val="008A052B"/>
    <w:rsid w:val="008A5AF1"/>
    <w:rsid w:val="008A6699"/>
    <w:rsid w:val="008B14A8"/>
    <w:rsid w:val="008B4A4D"/>
    <w:rsid w:val="008B7E6F"/>
    <w:rsid w:val="008C0D92"/>
    <w:rsid w:val="008C12D9"/>
    <w:rsid w:val="008C18D9"/>
    <w:rsid w:val="008C38BD"/>
    <w:rsid w:val="008C6644"/>
    <w:rsid w:val="008C6A93"/>
    <w:rsid w:val="008D0385"/>
    <w:rsid w:val="008D119F"/>
    <w:rsid w:val="008D2BD5"/>
    <w:rsid w:val="008D2F9C"/>
    <w:rsid w:val="008D4211"/>
    <w:rsid w:val="008D443F"/>
    <w:rsid w:val="008E3AF3"/>
    <w:rsid w:val="008E567F"/>
    <w:rsid w:val="008F1ED4"/>
    <w:rsid w:val="008F383B"/>
    <w:rsid w:val="008F6322"/>
    <w:rsid w:val="008F734B"/>
    <w:rsid w:val="00900D0B"/>
    <w:rsid w:val="00903995"/>
    <w:rsid w:val="009045CB"/>
    <w:rsid w:val="009045EC"/>
    <w:rsid w:val="00905ED3"/>
    <w:rsid w:val="009064EA"/>
    <w:rsid w:val="00906F53"/>
    <w:rsid w:val="009105E0"/>
    <w:rsid w:val="00911BC8"/>
    <w:rsid w:val="00912575"/>
    <w:rsid w:val="00917967"/>
    <w:rsid w:val="00923A9A"/>
    <w:rsid w:val="00924036"/>
    <w:rsid w:val="00924F61"/>
    <w:rsid w:val="00925741"/>
    <w:rsid w:val="00926DCC"/>
    <w:rsid w:val="0093070D"/>
    <w:rsid w:val="00936EAA"/>
    <w:rsid w:val="0093710E"/>
    <w:rsid w:val="00943C27"/>
    <w:rsid w:val="00946D3C"/>
    <w:rsid w:val="00950E9B"/>
    <w:rsid w:val="00951AAA"/>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1B37"/>
    <w:rsid w:val="0099209E"/>
    <w:rsid w:val="009932E1"/>
    <w:rsid w:val="00995FAB"/>
    <w:rsid w:val="009A01C2"/>
    <w:rsid w:val="009A1B9C"/>
    <w:rsid w:val="009A2BC0"/>
    <w:rsid w:val="009A3854"/>
    <w:rsid w:val="009A48B2"/>
    <w:rsid w:val="009A7EED"/>
    <w:rsid w:val="009C011F"/>
    <w:rsid w:val="009C0330"/>
    <w:rsid w:val="009C5202"/>
    <w:rsid w:val="009D1E6A"/>
    <w:rsid w:val="009D38EE"/>
    <w:rsid w:val="009D67BF"/>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1D65"/>
    <w:rsid w:val="00A230B9"/>
    <w:rsid w:val="00A24DA0"/>
    <w:rsid w:val="00A25863"/>
    <w:rsid w:val="00A2696D"/>
    <w:rsid w:val="00A34A52"/>
    <w:rsid w:val="00A34AEE"/>
    <w:rsid w:val="00A35D8E"/>
    <w:rsid w:val="00A373C6"/>
    <w:rsid w:val="00A40FB9"/>
    <w:rsid w:val="00A43EF5"/>
    <w:rsid w:val="00A4456D"/>
    <w:rsid w:val="00A445B9"/>
    <w:rsid w:val="00A45882"/>
    <w:rsid w:val="00A45C06"/>
    <w:rsid w:val="00A469A3"/>
    <w:rsid w:val="00A46F37"/>
    <w:rsid w:val="00A47951"/>
    <w:rsid w:val="00A51911"/>
    <w:rsid w:val="00A528AD"/>
    <w:rsid w:val="00A52ECD"/>
    <w:rsid w:val="00A546D9"/>
    <w:rsid w:val="00A5481E"/>
    <w:rsid w:val="00A54A54"/>
    <w:rsid w:val="00A60350"/>
    <w:rsid w:val="00A67D03"/>
    <w:rsid w:val="00A704FD"/>
    <w:rsid w:val="00A705E0"/>
    <w:rsid w:val="00A72485"/>
    <w:rsid w:val="00A73CAE"/>
    <w:rsid w:val="00A7400B"/>
    <w:rsid w:val="00A75ED7"/>
    <w:rsid w:val="00A76BF4"/>
    <w:rsid w:val="00A8009D"/>
    <w:rsid w:val="00A8326C"/>
    <w:rsid w:val="00A856E5"/>
    <w:rsid w:val="00A86868"/>
    <w:rsid w:val="00A86DC3"/>
    <w:rsid w:val="00A90165"/>
    <w:rsid w:val="00A902F0"/>
    <w:rsid w:val="00A90CF1"/>
    <w:rsid w:val="00A90EE4"/>
    <w:rsid w:val="00A9575D"/>
    <w:rsid w:val="00AA102D"/>
    <w:rsid w:val="00AA282F"/>
    <w:rsid w:val="00AB00F9"/>
    <w:rsid w:val="00AB0D7D"/>
    <w:rsid w:val="00AB4FC7"/>
    <w:rsid w:val="00AB4FF0"/>
    <w:rsid w:val="00AB6F08"/>
    <w:rsid w:val="00AC254D"/>
    <w:rsid w:val="00AC2B3F"/>
    <w:rsid w:val="00AC399A"/>
    <w:rsid w:val="00AC42D7"/>
    <w:rsid w:val="00AC57BE"/>
    <w:rsid w:val="00AC7A81"/>
    <w:rsid w:val="00AC7E92"/>
    <w:rsid w:val="00AD078B"/>
    <w:rsid w:val="00AD07C7"/>
    <w:rsid w:val="00AD2DCE"/>
    <w:rsid w:val="00AD7037"/>
    <w:rsid w:val="00AD7596"/>
    <w:rsid w:val="00AE056E"/>
    <w:rsid w:val="00AE135B"/>
    <w:rsid w:val="00AE19B2"/>
    <w:rsid w:val="00AE2946"/>
    <w:rsid w:val="00AF270F"/>
    <w:rsid w:val="00AF4EB5"/>
    <w:rsid w:val="00AF59D9"/>
    <w:rsid w:val="00B01945"/>
    <w:rsid w:val="00B03572"/>
    <w:rsid w:val="00B06530"/>
    <w:rsid w:val="00B10F18"/>
    <w:rsid w:val="00B10F65"/>
    <w:rsid w:val="00B123AF"/>
    <w:rsid w:val="00B15C8E"/>
    <w:rsid w:val="00B15EBB"/>
    <w:rsid w:val="00B15F8E"/>
    <w:rsid w:val="00B172C2"/>
    <w:rsid w:val="00B17638"/>
    <w:rsid w:val="00B177B8"/>
    <w:rsid w:val="00B235E1"/>
    <w:rsid w:val="00B23FCB"/>
    <w:rsid w:val="00B24B1B"/>
    <w:rsid w:val="00B32007"/>
    <w:rsid w:val="00B331F0"/>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1C19"/>
    <w:rsid w:val="00B52EFB"/>
    <w:rsid w:val="00B56B5D"/>
    <w:rsid w:val="00B60D09"/>
    <w:rsid w:val="00B61ACD"/>
    <w:rsid w:val="00B6341B"/>
    <w:rsid w:val="00B638CD"/>
    <w:rsid w:val="00B65CC3"/>
    <w:rsid w:val="00B6681D"/>
    <w:rsid w:val="00B71158"/>
    <w:rsid w:val="00B73B20"/>
    <w:rsid w:val="00B73BA3"/>
    <w:rsid w:val="00B77FE9"/>
    <w:rsid w:val="00B81161"/>
    <w:rsid w:val="00B82395"/>
    <w:rsid w:val="00B82B99"/>
    <w:rsid w:val="00B82E88"/>
    <w:rsid w:val="00B8339C"/>
    <w:rsid w:val="00B847D7"/>
    <w:rsid w:val="00B9279D"/>
    <w:rsid w:val="00B93E31"/>
    <w:rsid w:val="00B94F21"/>
    <w:rsid w:val="00B95D73"/>
    <w:rsid w:val="00B961B1"/>
    <w:rsid w:val="00B96B76"/>
    <w:rsid w:val="00BA0744"/>
    <w:rsid w:val="00BA230E"/>
    <w:rsid w:val="00BA5940"/>
    <w:rsid w:val="00BB1D5C"/>
    <w:rsid w:val="00BD1F4A"/>
    <w:rsid w:val="00BD1F4B"/>
    <w:rsid w:val="00BD4139"/>
    <w:rsid w:val="00BD5E2F"/>
    <w:rsid w:val="00BD62CC"/>
    <w:rsid w:val="00BE029F"/>
    <w:rsid w:val="00BE17AD"/>
    <w:rsid w:val="00BE283A"/>
    <w:rsid w:val="00BE4243"/>
    <w:rsid w:val="00BE4DAF"/>
    <w:rsid w:val="00BF10CF"/>
    <w:rsid w:val="00BF1617"/>
    <w:rsid w:val="00BF18F3"/>
    <w:rsid w:val="00BF25DD"/>
    <w:rsid w:val="00BF2EB5"/>
    <w:rsid w:val="00BF47A3"/>
    <w:rsid w:val="00BF52E7"/>
    <w:rsid w:val="00BF57B3"/>
    <w:rsid w:val="00BF6772"/>
    <w:rsid w:val="00C01756"/>
    <w:rsid w:val="00C028AA"/>
    <w:rsid w:val="00C02FF5"/>
    <w:rsid w:val="00C04A64"/>
    <w:rsid w:val="00C0508A"/>
    <w:rsid w:val="00C116A9"/>
    <w:rsid w:val="00C12251"/>
    <w:rsid w:val="00C12E65"/>
    <w:rsid w:val="00C14666"/>
    <w:rsid w:val="00C23C9E"/>
    <w:rsid w:val="00C24049"/>
    <w:rsid w:val="00C258B3"/>
    <w:rsid w:val="00C27D4D"/>
    <w:rsid w:val="00C3193D"/>
    <w:rsid w:val="00C322A5"/>
    <w:rsid w:val="00C327A4"/>
    <w:rsid w:val="00C34465"/>
    <w:rsid w:val="00C4064B"/>
    <w:rsid w:val="00C42D94"/>
    <w:rsid w:val="00C43F03"/>
    <w:rsid w:val="00C45135"/>
    <w:rsid w:val="00C4798E"/>
    <w:rsid w:val="00C50C98"/>
    <w:rsid w:val="00C512DB"/>
    <w:rsid w:val="00C51A36"/>
    <w:rsid w:val="00C56898"/>
    <w:rsid w:val="00C57898"/>
    <w:rsid w:val="00C57ADA"/>
    <w:rsid w:val="00C57FDD"/>
    <w:rsid w:val="00C605FA"/>
    <w:rsid w:val="00C61C2C"/>
    <w:rsid w:val="00C61E1C"/>
    <w:rsid w:val="00C63946"/>
    <w:rsid w:val="00C6563F"/>
    <w:rsid w:val="00C671B0"/>
    <w:rsid w:val="00C67472"/>
    <w:rsid w:val="00C70AB2"/>
    <w:rsid w:val="00C779FF"/>
    <w:rsid w:val="00C84003"/>
    <w:rsid w:val="00C84302"/>
    <w:rsid w:val="00C8588D"/>
    <w:rsid w:val="00C87202"/>
    <w:rsid w:val="00C907F4"/>
    <w:rsid w:val="00C9301C"/>
    <w:rsid w:val="00C95110"/>
    <w:rsid w:val="00C97260"/>
    <w:rsid w:val="00CA1843"/>
    <w:rsid w:val="00CA20F3"/>
    <w:rsid w:val="00CA2B5A"/>
    <w:rsid w:val="00CA2BB6"/>
    <w:rsid w:val="00CB45BB"/>
    <w:rsid w:val="00CB4BB9"/>
    <w:rsid w:val="00CB5A73"/>
    <w:rsid w:val="00CB6C1E"/>
    <w:rsid w:val="00CC30E9"/>
    <w:rsid w:val="00CC45F2"/>
    <w:rsid w:val="00CC5009"/>
    <w:rsid w:val="00CC65D4"/>
    <w:rsid w:val="00CC7848"/>
    <w:rsid w:val="00CD1A02"/>
    <w:rsid w:val="00CD72A2"/>
    <w:rsid w:val="00CE2E7C"/>
    <w:rsid w:val="00CE49BE"/>
    <w:rsid w:val="00CE4FCE"/>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1D2A"/>
    <w:rsid w:val="00D343E9"/>
    <w:rsid w:val="00D41C0E"/>
    <w:rsid w:val="00D440B0"/>
    <w:rsid w:val="00D446B8"/>
    <w:rsid w:val="00D45A1E"/>
    <w:rsid w:val="00D515D3"/>
    <w:rsid w:val="00D516BC"/>
    <w:rsid w:val="00D51D5A"/>
    <w:rsid w:val="00D529AC"/>
    <w:rsid w:val="00D52A35"/>
    <w:rsid w:val="00D53425"/>
    <w:rsid w:val="00D540BE"/>
    <w:rsid w:val="00D57BF6"/>
    <w:rsid w:val="00D612F7"/>
    <w:rsid w:val="00D63EF6"/>
    <w:rsid w:val="00D75E24"/>
    <w:rsid w:val="00D75E92"/>
    <w:rsid w:val="00D7677D"/>
    <w:rsid w:val="00D80720"/>
    <w:rsid w:val="00D8145B"/>
    <w:rsid w:val="00D844AA"/>
    <w:rsid w:val="00D8489F"/>
    <w:rsid w:val="00D854C5"/>
    <w:rsid w:val="00D93A49"/>
    <w:rsid w:val="00D9449D"/>
    <w:rsid w:val="00D9655A"/>
    <w:rsid w:val="00D96F09"/>
    <w:rsid w:val="00DA154B"/>
    <w:rsid w:val="00DA315B"/>
    <w:rsid w:val="00DA3AC1"/>
    <w:rsid w:val="00DA6176"/>
    <w:rsid w:val="00DA6237"/>
    <w:rsid w:val="00DA74E0"/>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0E5"/>
    <w:rsid w:val="00DE3559"/>
    <w:rsid w:val="00DE6BBB"/>
    <w:rsid w:val="00DF0389"/>
    <w:rsid w:val="00DF1231"/>
    <w:rsid w:val="00E0140B"/>
    <w:rsid w:val="00E01B28"/>
    <w:rsid w:val="00E11A89"/>
    <w:rsid w:val="00E131DD"/>
    <w:rsid w:val="00E14365"/>
    <w:rsid w:val="00E1637E"/>
    <w:rsid w:val="00E16CA9"/>
    <w:rsid w:val="00E200B3"/>
    <w:rsid w:val="00E2047F"/>
    <w:rsid w:val="00E20AED"/>
    <w:rsid w:val="00E24382"/>
    <w:rsid w:val="00E24FCE"/>
    <w:rsid w:val="00E2716C"/>
    <w:rsid w:val="00E30530"/>
    <w:rsid w:val="00E36B45"/>
    <w:rsid w:val="00E36D01"/>
    <w:rsid w:val="00E37008"/>
    <w:rsid w:val="00E37022"/>
    <w:rsid w:val="00E40085"/>
    <w:rsid w:val="00E41369"/>
    <w:rsid w:val="00E41374"/>
    <w:rsid w:val="00E466CA"/>
    <w:rsid w:val="00E477FD"/>
    <w:rsid w:val="00E52423"/>
    <w:rsid w:val="00E52DA1"/>
    <w:rsid w:val="00E5600A"/>
    <w:rsid w:val="00E56BBE"/>
    <w:rsid w:val="00E6164D"/>
    <w:rsid w:val="00E61D03"/>
    <w:rsid w:val="00E63227"/>
    <w:rsid w:val="00E647BA"/>
    <w:rsid w:val="00E66DC5"/>
    <w:rsid w:val="00E67124"/>
    <w:rsid w:val="00E7082D"/>
    <w:rsid w:val="00E722CF"/>
    <w:rsid w:val="00E76847"/>
    <w:rsid w:val="00E83DC2"/>
    <w:rsid w:val="00E83F6E"/>
    <w:rsid w:val="00E90633"/>
    <w:rsid w:val="00E91BCB"/>
    <w:rsid w:val="00E921D5"/>
    <w:rsid w:val="00EA3243"/>
    <w:rsid w:val="00EA350D"/>
    <w:rsid w:val="00EA4664"/>
    <w:rsid w:val="00EA7F7D"/>
    <w:rsid w:val="00EB2F08"/>
    <w:rsid w:val="00EB4BF8"/>
    <w:rsid w:val="00EB532C"/>
    <w:rsid w:val="00EC1726"/>
    <w:rsid w:val="00EC5234"/>
    <w:rsid w:val="00EC5E47"/>
    <w:rsid w:val="00ED097A"/>
    <w:rsid w:val="00ED1236"/>
    <w:rsid w:val="00ED1B6B"/>
    <w:rsid w:val="00ED2A0E"/>
    <w:rsid w:val="00ED54C8"/>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2456"/>
    <w:rsid w:val="00F066A4"/>
    <w:rsid w:val="00F07796"/>
    <w:rsid w:val="00F101EE"/>
    <w:rsid w:val="00F122B4"/>
    <w:rsid w:val="00F14202"/>
    <w:rsid w:val="00F144A6"/>
    <w:rsid w:val="00F21A02"/>
    <w:rsid w:val="00F23F14"/>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54000"/>
    <w:rsid w:val="00F60234"/>
    <w:rsid w:val="00F60AD8"/>
    <w:rsid w:val="00F60AE1"/>
    <w:rsid w:val="00F62C1E"/>
    <w:rsid w:val="00F64006"/>
    <w:rsid w:val="00F646EC"/>
    <w:rsid w:val="00F647E0"/>
    <w:rsid w:val="00F64FAA"/>
    <w:rsid w:val="00F66A41"/>
    <w:rsid w:val="00F671D1"/>
    <w:rsid w:val="00F776DD"/>
    <w:rsid w:val="00F802B8"/>
    <w:rsid w:val="00F815E7"/>
    <w:rsid w:val="00F82E48"/>
    <w:rsid w:val="00F8437C"/>
    <w:rsid w:val="00F86F90"/>
    <w:rsid w:val="00F920E3"/>
    <w:rsid w:val="00F93261"/>
    <w:rsid w:val="00F95BD2"/>
    <w:rsid w:val="00FA1A12"/>
    <w:rsid w:val="00FA62EF"/>
    <w:rsid w:val="00FB27C7"/>
    <w:rsid w:val="00FB72E1"/>
    <w:rsid w:val="00FC3038"/>
    <w:rsid w:val="00FC6EE8"/>
    <w:rsid w:val="00FD114B"/>
    <w:rsid w:val="00FD23D2"/>
    <w:rsid w:val="00FD271F"/>
    <w:rsid w:val="00FD3A28"/>
    <w:rsid w:val="00FD585F"/>
    <w:rsid w:val="00FD5BDB"/>
    <w:rsid w:val="00FD62F1"/>
    <w:rsid w:val="00FD7351"/>
    <w:rsid w:val="00FE1697"/>
    <w:rsid w:val="00FF145F"/>
    <w:rsid w:val="00FF319D"/>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729">
      <w:bodyDiv w:val="1"/>
      <w:marLeft w:val="0"/>
      <w:marRight w:val="0"/>
      <w:marTop w:val="0"/>
      <w:marBottom w:val="0"/>
      <w:divBdr>
        <w:top w:val="none" w:sz="0" w:space="0" w:color="auto"/>
        <w:left w:val="none" w:sz="0" w:space="0" w:color="auto"/>
        <w:bottom w:val="none" w:sz="0" w:space="0" w:color="auto"/>
        <w:right w:val="none" w:sz="0" w:space="0" w:color="auto"/>
      </w:divBdr>
    </w:div>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29484604">
      <w:bodyDiv w:val="1"/>
      <w:marLeft w:val="0"/>
      <w:marRight w:val="0"/>
      <w:marTop w:val="0"/>
      <w:marBottom w:val="0"/>
      <w:divBdr>
        <w:top w:val="none" w:sz="0" w:space="0" w:color="auto"/>
        <w:left w:val="none" w:sz="0" w:space="0" w:color="auto"/>
        <w:bottom w:val="none" w:sz="0" w:space="0" w:color="auto"/>
        <w:right w:val="none" w:sz="0" w:space="0" w:color="auto"/>
      </w:divBdr>
    </w:div>
    <w:div w:id="1553081799">
      <w:bodyDiv w:val="1"/>
      <w:marLeft w:val="0"/>
      <w:marRight w:val="0"/>
      <w:marTop w:val="0"/>
      <w:marBottom w:val="0"/>
      <w:divBdr>
        <w:top w:val="none" w:sz="0" w:space="0" w:color="auto"/>
        <w:left w:val="none" w:sz="0" w:space="0" w:color="auto"/>
        <w:bottom w:val="none" w:sz="0" w:space="0" w:color="auto"/>
        <w:right w:val="none" w:sz="0" w:space="0" w:color="auto"/>
      </w:divBdr>
      <w:divsChild>
        <w:div w:id="999768922">
          <w:marLeft w:val="547"/>
          <w:marRight w:val="0"/>
          <w:marTop w:val="96"/>
          <w:marBottom w:val="0"/>
          <w:divBdr>
            <w:top w:val="none" w:sz="0" w:space="0" w:color="auto"/>
            <w:left w:val="none" w:sz="0" w:space="0" w:color="auto"/>
            <w:bottom w:val="none" w:sz="0" w:space="0" w:color="auto"/>
            <w:right w:val="none" w:sz="0" w:space="0" w:color="auto"/>
          </w:divBdr>
        </w:div>
        <w:div w:id="743456731">
          <w:marLeft w:val="547"/>
          <w:marRight w:val="0"/>
          <w:marTop w:val="96"/>
          <w:marBottom w:val="0"/>
          <w:divBdr>
            <w:top w:val="none" w:sz="0" w:space="0" w:color="auto"/>
            <w:left w:val="none" w:sz="0" w:space="0" w:color="auto"/>
            <w:bottom w:val="none" w:sz="0" w:space="0" w:color="auto"/>
            <w:right w:val="none" w:sz="0" w:space="0" w:color="auto"/>
          </w:divBdr>
        </w:div>
        <w:div w:id="1132821375">
          <w:marLeft w:val="547"/>
          <w:marRight w:val="0"/>
          <w:marTop w:val="96"/>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21569625">
      <w:bodyDiv w:val="1"/>
      <w:marLeft w:val="0"/>
      <w:marRight w:val="0"/>
      <w:marTop w:val="0"/>
      <w:marBottom w:val="0"/>
      <w:divBdr>
        <w:top w:val="none" w:sz="0" w:space="0" w:color="auto"/>
        <w:left w:val="none" w:sz="0" w:space="0" w:color="auto"/>
        <w:bottom w:val="none" w:sz="0" w:space="0" w:color="auto"/>
        <w:right w:val="none" w:sz="0" w:space="0" w:color="auto"/>
      </w:divBdr>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05418721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5748-54DE-47EE-875B-41F9CAA4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CDM.dot</Template>
  <TotalTime>51</TotalTime>
  <Pages>6</Pages>
  <Words>1153</Words>
  <Characters>6578</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PCTech</cp:lastModifiedBy>
  <cp:revision>6</cp:revision>
  <cp:lastPrinted>2009-01-27T17:51:00Z</cp:lastPrinted>
  <dcterms:created xsi:type="dcterms:W3CDTF">2014-04-29T14:03:00Z</dcterms:created>
  <dcterms:modified xsi:type="dcterms:W3CDTF">2014-04-29T14:56:00Z</dcterms:modified>
  <cp:category>SDM Template</cp:category>
</cp:coreProperties>
</file>