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790"/>
        <w:gridCol w:w="1525"/>
        <w:gridCol w:w="2347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AA37BE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CB2B6A">
              <w:rPr>
                <w:b/>
                <w:color w:val="0000FF"/>
                <w:sz w:val="22"/>
              </w:rPr>
              <w:t>A</w:t>
            </w:r>
            <w:r w:rsidR="00863792">
              <w:rPr>
                <w:b/>
                <w:color w:val="0000FF"/>
                <w:sz w:val="22"/>
              </w:rPr>
              <w:t>pril 5</w:t>
            </w:r>
            <w:r w:rsidR="00AA37BE">
              <w:rPr>
                <w:b/>
                <w:color w:val="0000FF"/>
                <w:sz w:val="22"/>
              </w:rPr>
              <w:t>,</w:t>
            </w:r>
            <w:r w:rsidR="0036210E">
              <w:rPr>
                <w:b/>
                <w:color w:val="0000FF"/>
                <w:sz w:val="22"/>
              </w:rPr>
              <w:t xml:space="preserve"> 2016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4493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6E6EE1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E6EE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942A5B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  <w:r w:rsidR="00942A5B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 xml:space="preserve"> Phil </w:t>
                  </w:r>
                  <w:proofErr w:type="spellStart"/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>Linse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36210E">
              <w:trPr>
                <w:trHeight w:val="287"/>
              </w:trPr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/>
                    </w:rPr>
                    <w:t>Rosemary Emmer,</w:t>
                  </w:r>
                  <w:r w:rsidRPr="004B02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AA37BE">
                    <w:rPr>
                      <w:rFonts w:ascii="Times New Roman" w:hAnsi="Times New Roman"/>
                      <w:b/>
                      <w:color w:val="000000"/>
                    </w:rPr>
                    <w:t>Karen Riepenkroger</w:t>
                  </w:r>
                  <w:r w:rsidR="001647BA">
                    <w:rPr>
                      <w:rFonts w:ascii="Times New Roman" w:hAnsi="Times New Roman"/>
                      <w:b/>
                      <w:color w:val="000000"/>
                    </w:rPr>
                    <w:t>, Heather Weiss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747ECB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47ECB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Ann Stevens,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942A5B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942A5B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  <w:r w:rsidR="00330E8B" w:rsidRPr="004B026F">
                    <w:rPr>
                      <w:bCs/>
                      <w:color w:val="000000"/>
                      <w:sz w:val="20"/>
                    </w:rPr>
                    <w:t>; Kim Nadeau</w:t>
                  </w:r>
                  <w:r w:rsidR="00942A5B">
                    <w:rPr>
                      <w:bCs/>
                      <w:color w:val="000000"/>
                      <w:sz w:val="20"/>
                    </w:rPr>
                    <w:t xml:space="preserve">, </w:t>
                  </w:r>
                  <w:r w:rsidR="00942A5B" w:rsidRPr="0036210E">
                    <w:rPr>
                      <w:bCs/>
                      <w:color w:val="000000"/>
                      <w:sz w:val="20"/>
                    </w:rPr>
                    <w:t>Mark Jackson</w:t>
                  </w: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1511F" w:rsidRDefault="0081511F" w:rsidP="00AA37B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96204" w:rsidRPr="001B0E89">
              <w:rPr>
                <w:rFonts w:ascii="Arial" w:hAnsi="Arial" w:cs="Arial"/>
              </w:rPr>
              <w:t xml:space="preserve">pprove </w:t>
            </w:r>
            <w:r w:rsidR="00747ECB">
              <w:rPr>
                <w:rFonts w:ascii="Arial" w:hAnsi="Arial" w:cs="Arial"/>
              </w:rPr>
              <w:t>February</w:t>
            </w:r>
            <w:r w:rsidR="00AA37BE">
              <w:rPr>
                <w:rFonts w:ascii="Arial" w:hAnsi="Arial" w:cs="Arial"/>
              </w:rPr>
              <w:t xml:space="preserve"> meeting notes</w:t>
            </w:r>
          </w:p>
          <w:p w:rsidR="00302202" w:rsidRDefault="00747ECB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AA37BE">
              <w:rPr>
                <w:rFonts w:ascii="Arial" w:hAnsi="Arial" w:cs="Arial"/>
              </w:rPr>
              <w:t xml:space="preserve"> NANP Report (Welch)</w:t>
            </w:r>
          </w:p>
          <w:p w:rsidR="00747ECB" w:rsidRDefault="00747ECB" w:rsidP="00747ECB">
            <w:pPr>
              <w:rPr>
                <w:rFonts w:ascii="Arial" w:hAnsi="Arial" w:cs="Arial"/>
              </w:rPr>
            </w:pPr>
          </w:p>
          <w:p w:rsidR="00747ECB" w:rsidRPr="00747ECB" w:rsidRDefault="00747ECB" w:rsidP="00747ECB">
            <w:pPr>
              <w:rPr>
                <w:rFonts w:ascii="Arial" w:hAnsi="Arial" w:cs="Arial"/>
              </w:rPr>
            </w:pPr>
          </w:p>
          <w:p w:rsidR="00302202" w:rsidRDefault="00302202" w:rsidP="00302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:rsidR="00302202" w:rsidRDefault="00302202" w:rsidP="00302202">
            <w:pPr>
              <w:rPr>
                <w:rFonts w:ascii="Arial" w:hAnsi="Arial" w:cs="Arial"/>
              </w:rPr>
            </w:pPr>
          </w:p>
          <w:p w:rsidR="008D0A2A" w:rsidRDefault="00E75C70" w:rsidP="008D0A2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FCC issued a notice of Intent in February to any vendors who may be interested in being the B&amp;C Agent. </w:t>
            </w:r>
          </w:p>
          <w:p w:rsidR="00570158" w:rsidRPr="008D0A2A" w:rsidRDefault="00570158" w:rsidP="008D0A2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2A54D3">
              <w:rPr>
                <w:rFonts w:ascii="Arial" w:hAnsi="Arial" w:cs="Arial"/>
              </w:rPr>
              <w:t>are reports that we measure in the deliverable report that Heather sends directly to</w:t>
            </w:r>
            <w:r w:rsidR="007E0996">
              <w:rPr>
                <w:rFonts w:ascii="Arial" w:hAnsi="Arial" w:cs="Arial"/>
              </w:rPr>
              <w:t xml:space="preserve"> the FCC. The B&amp;C WG does not (and should not) have access to these reports. In order for the B&amp;C WG going forward to measure the deliverables for these reports, Heather will send an email to the B&amp;C WG once the reports have been sent each month, this will be the  new measurement the B&amp;C WG will use.</w:t>
            </w:r>
          </w:p>
          <w:p w:rsidR="00302202" w:rsidRPr="00302202" w:rsidRDefault="00302202" w:rsidP="00302202">
            <w:pPr>
              <w:rPr>
                <w:rFonts w:ascii="Arial" w:hAnsi="Arial" w:cs="Arial"/>
              </w:rPr>
            </w:pPr>
          </w:p>
          <w:p w:rsidR="00AA37BE" w:rsidRDefault="00AA37BE" w:rsidP="00AA37BE">
            <w:pPr>
              <w:pStyle w:val="ListParagraph"/>
              <w:rPr>
                <w:rFonts w:ascii="Arial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747ECB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February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3B74EF" w:rsidRPr="00570158" w:rsidRDefault="00A80597" w:rsidP="0042752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 w:rsidRPr="00AA37BE"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570158" w:rsidRPr="00AA37BE" w:rsidRDefault="002A54D3" w:rsidP="0042752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Action item for Mary, Rosemary and Michele</w:t>
            </w:r>
            <w:r w:rsidR="00570158">
              <w:rPr>
                <w:rFonts w:ascii="Arial" w:hAnsi="Arial" w:cs="Arial"/>
                <w:sz w:val="20"/>
              </w:rPr>
              <w:t xml:space="preserve"> to talk to Marilyn or whomever to discuss how to make</w:t>
            </w:r>
            <w:r>
              <w:rPr>
                <w:rFonts w:ascii="Arial" w:hAnsi="Arial" w:cs="Arial"/>
                <w:sz w:val="20"/>
              </w:rPr>
              <w:t xml:space="preserve"> the B&amp;C Agent filing’s more transparent perhaps with the new contract. (right now an email is sent to different organizations within the FCC)</w:t>
            </w: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1928BD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Deliverables Report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Distributing invoices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invoices for carriers were emailed on February 12th.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Payments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downloaded on a daily basis. The deposi</w:t>
            </w:r>
            <w:r w:rsidR="001647BA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information is recorded daily.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Late/Absent Payments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accounts were emailed and mailed on February 2nd to carriers with outstanding balances greater</w:t>
            </w:r>
            <w:r w:rsidR="001647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than $10.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FCC Red Light Notices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minimum, an updated red light report is posted to the FCC server for processing once a week. When</w:t>
            </w:r>
            <w:r w:rsidR="0086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required, additional updates are posted.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Helpdesk Queries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voicemail inbox or email inbox. The information is transferred to an</w:t>
            </w:r>
            <w:r w:rsidR="0086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Access database. The date, nature of query, name of filer, Filer ID, who responded and on what date and the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resolution</w:t>
            </w:r>
            <w:proofErr w:type="gramEnd"/>
            <w:r>
              <w:rPr>
                <w:rFonts w:ascii="Arial" w:hAnsi="Arial" w:cs="Arial"/>
              </w:rPr>
              <w:t xml:space="preserve"> is tracked. Queries are returned usually within 3 business days. Six calls were received in February.</w:t>
            </w:r>
            <w:r w:rsidR="0086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calls are questions about how to make changes to their email billing address, notification about closing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business, asking what the invoice was for or asking how to make a payment.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Changes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since last month's report.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Renewal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extension</w:t>
            </w:r>
            <w:r w:rsidR="0086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contract that runs until June 30, 2016.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Receivable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February we received $761.87 from Treasury for debts collected.</w:t>
            </w:r>
          </w:p>
          <w:p w:rsidR="00863792" w:rsidRDefault="00863792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Timeline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change in the funding year, the anticipated timeline for the budget and billing for 2016 is</w:t>
            </w:r>
            <w:r w:rsidR="0086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follows: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Preliminary budget and contribution factor presented to B&amp;C Working Group - April 26 meeting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presented to B&amp;C Working Group - May 24 meeting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presented to NANC - June 30 C meeting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filed with FCC - July 5</w:t>
            </w:r>
          </w:p>
          <w:p w:rsidR="00FC6643" w:rsidRDefault="00FC6643" w:rsidP="00FC66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Invoices prepared and sent to carriers - September 12</w:t>
            </w:r>
          </w:p>
          <w:p w:rsidR="001928BD" w:rsidRDefault="00FC6643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- Payment due - October 12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1928BD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07" w:rsidTr="00BF16B8">
        <w:trPr>
          <w:cantSplit/>
          <w:trHeight w:val="300"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C175D" w:rsidTr="001928BD">
              <w:trPr>
                <w:trHeight w:val="1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E75C7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2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8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BF16B8">
              <w:trPr>
                <w:trHeight w:val="74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1DF7" w:rsidRDefault="0088091E" w:rsidP="00511DF7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747ECB">
              <w:rPr>
                <w:b/>
                <w:color w:val="000000"/>
                <w:sz w:val="36"/>
                <w:szCs w:val="36"/>
              </w:rPr>
              <w:t>April 26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231D2" w:rsidRDefault="007E72C9" w:rsidP="006231D2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Bridge:</w:t>
            </w:r>
          </w:p>
          <w:p w:rsidR="007E72C9" w:rsidRPr="006231D2" w:rsidRDefault="007E72C9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747ECB">
              <w:rPr>
                <w:rFonts w:ascii="Arial" w:hAnsi="Arial" w:cs="Arial"/>
              </w:rPr>
              <w:t>April 5</w:t>
            </w:r>
            <w:r w:rsidR="004B026F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9327FF">
              <w:rPr>
                <w:rFonts w:ascii="Arial" w:hAnsi="Arial" w:cs="Arial"/>
              </w:rPr>
              <w:t>2016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Default="00052FD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747ECB">
              <w:rPr>
                <w:rFonts w:ascii="Arial" w:hAnsi="Arial" w:cs="Arial"/>
              </w:rPr>
              <w:t>March</w:t>
            </w:r>
            <w:r w:rsidR="009327FF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747ECB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026F8F">
              <w:rPr>
                <w:rFonts w:ascii="Arial" w:hAnsi="Arial" w:cs="Arial"/>
              </w:rPr>
              <w:t xml:space="preserve"> </w:t>
            </w:r>
            <w:r w:rsidR="007E72C9">
              <w:rPr>
                <w:rFonts w:ascii="Arial" w:hAnsi="Arial" w:cs="Arial"/>
              </w:rPr>
              <w:t>Deliverable report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BA" w:rsidRDefault="00E352BA">
      <w:r>
        <w:separator/>
      </w:r>
    </w:p>
  </w:endnote>
  <w:endnote w:type="continuationSeparator" w:id="0">
    <w:p w:rsidR="00E352BA" w:rsidRDefault="00E3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8C4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78C4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2578C4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78C4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BA" w:rsidRDefault="00E352BA">
      <w:r>
        <w:separator/>
      </w:r>
    </w:p>
  </w:footnote>
  <w:footnote w:type="continuationSeparator" w:id="0">
    <w:p w:rsidR="00E352BA" w:rsidRDefault="00E3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17F34"/>
    <w:multiLevelType w:val="hybridMultilevel"/>
    <w:tmpl w:val="B58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7F35AD"/>
    <w:multiLevelType w:val="hybridMultilevel"/>
    <w:tmpl w:val="DF7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21"/>
  </w:num>
  <w:num w:numId="5">
    <w:abstractNumId w:val="30"/>
  </w:num>
  <w:num w:numId="6">
    <w:abstractNumId w:val="26"/>
  </w:num>
  <w:num w:numId="7">
    <w:abstractNumId w:val="1"/>
  </w:num>
  <w:num w:numId="8">
    <w:abstractNumId w:val="30"/>
  </w:num>
  <w:num w:numId="9">
    <w:abstractNumId w:val="26"/>
  </w:num>
  <w:num w:numId="10">
    <w:abstractNumId w:val="16"/>
  </w:num>
  <w:num w:numId="11">
    <w:abstractNumId w:val="30"/>
  </w:num>
  <w:num w:numId="12">
    <w:abstractNumId w:val="26"/>
  </w:num>
  <w:num w:numId="13">
    <w:abstractNumId w:val="28"/>
  </w:num>
  <w:num w:numId="14">
    <w:abstractNumId w:val="4"/>
  </w:num>
  <w:num w:numId="15">
    <w:abstractNumId w:val="30"/>
  </w:num>
  <w:num w:numId="16">
    <w:abstractNumId w:val="8"/>
  </w:num>
  <w:num w:numId="17">
    <w:abstractNumId w:val="5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5"/>
  </w:num>
  <w:num w:numId="26">
    <w:abstractNumId w:val="13"/>
  </w:num>
  <w:num w:numId="27">
    <w:abstractNumId w:val="7"/>
  </w:num>
  <w:num w:numId="28">
    <w:abstractNumId w:val="7"/>
  </w:num>
  <w:num w:numId="29">
    <w:abstractNumId w:val="13"/>
  </w:num>
  <w:num w:numId="30">
    <w:abstractNumId w:val="3"/>
  </w:num>
  <w:num w:numId="31">
    <w:abstractNumId w:val="2"/>
  </w:num>
  <w:num w:numId="32">
    <w:abstractNumId w:val="9"/>
  </w:num>
  <w:num w:numId="33">
    <w:abstractNumId w:val="12"/>
  </w:num>
  <w:num w:numId="34">
    <w:abstractNumId w:val="7"/>
  </w:num>
  <w:num w:numId="35">
    <w:abstractNumId w:val="13"/>
  </w:num>
  <w:num w:numId="36">
    <w:abstractNumId w:val="25"/>
  </w:num>
  <w:num w:numId="37">
    <w:abstractNumId w:val="18"/>
  </w:num>
  <w:num w:numId="38">
    <w:abstractNumId w:val="22"/>
  </w:num>
  <w:num w:numId="39">
    <w:abstractNumId w:val="19"/>
  </w:num>
  <w:num w:numId="40">
    <w:abstractNumId w:val="7"/>
  </w:num>
  <w:num w:numId="41">
    <w:abstractNumId w:val="13"/>
  </w:num>
  <w:num w:numId="42">
    <w:abstractNumId w:val="14"/>
  </w:num>
  <w:num w:numId="43">
    <w:abstractNumId w:val="6"/>
  </w:num>
  <w:num w:numId="44">
    <w:abstractNumId w:val="24"/>
  </w:num>
  <w:num w:numId="45">
    <w:abstractNumId w:val="0"/>
  </w:num>
  <w:num w:numId="46">
    <w:abstractNumId w:val="27"/>
  </w:num>
  <w:num w:numId="47">
    <w:abstractNumId w:val="24"/>
  </w:num>
  <w:num w:numId="48">
    <w:abstractNumId w:val="25"/>
  </w:num>
  <w:num w:numId="49">
    <w:abstractNumId w:val="10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26F8F"/>
    <w:rsid w:val="0003339F"/>
    <w:rsid w:val="0003509A"/>
    <w:rsid w:val="00036417"/>
    <w:rsid w:val="0003793E"/>
    <w:rsid w:val="00044128"/>
    <w:rsid w:val="00044EE8"/>
    <w:rsid w:val="000466A2"/>
    <w:rsid w:val="00050125"/>
    <w:rsid w:val="00052714"/>
    <w:rsid w:val="00052FD0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125F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47BA"/>
    <w:rsid w:val="00165908"/>
    <w:rsid w:val="001664CA"/>
    <w:rsid w:val="00167F60"/>
    <w:rsid w:val="001703F7"/>
    <w:rsid w:val="00181C4D"/>
    <w:rsid w:val="00182276"/>
    <w:rsid w:val="00184A98"/>
    <w:rsid w:val="00186443"/>
    <w:rsid w:val="001928BD"/>
    <w:rsid w:val="00194AC6"/>
    <w:rsid w:val="00197420"/>
    <w:rsid w:val="001A0DF3"/>
    <w:rsid w:val="001A3D1D"/>
    <w:rsid w:val="001A513D"/>
    <w:rsid w:val="001A54D8"/>
    <w:rsid w:val="001A69A4"/>
    <w:rsid w:val="001B0A9E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074D1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58D2"/>
    <w:rsid w:val="0022708F"/>
    <w:rsid w:val="0023015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578C4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86A49"/>
    <w:rsid w:val="0029226C"/>
    <w:rsid w:val="00292956"/>
    <w:rsid w:val="0029583D"/>
    <w:rsid w:val="00296480"/>
    <w:rsid w:val="00297484"/>
    <w:rsid w:val="002977AF"/>
    <w:rsid w:val="00297FC6"/>
    <w:rsid w:val="002A54D3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5DCD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2202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0E8B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0E"/>
    <w:rsid w:val="003621E2"/>
    <w:rsid w:val="0036288A"/>
    <w:rsid w:val="00363AED"/>
    <w:rsid w:val="003646AC"/>
    <w:rsid w:val="0036510E"/>
    <w:rsid w:val="00365E8E"/>
    <w:rsid w:val="00366E73"/>
    <w:rsid w:val="00366E90"/>
    <w:rsid w:val="00367BC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07906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3AC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6F"/>
    <w:rsid w:val="004B029A"/>
    <w:rsid w:val="004B06AF"/>
    <w:rsid w:val="004B14C9"/>
    <w:rsid w:val="004B4272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9F7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1DF7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0158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04D8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C60"/>
    <w:rsid w:val="006244C8"/>
    <w:rsid w:val="006245B5"/>
    <w:rsid w:val="00627157"/>
    <w:rsid w:val="006272C2"/>
    <w:rsid w:val="00627CCB"/>
    <w:rsid w:val="00630DF7"/>
    <w:rsid w:val="00634C2E"/>
    <w:rsid w:val="00640B76"/>
    <w:rsid w:val="00640EE8"/>
    <w:rsid w:val="00643728"/>
    <w:rsid w:val="00644813"/>
    <w:rsid w:val="00646754"/>
    <w:rsid w:val="00651307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3EBF"/>
    <w:rsid w:val="00685469"/>
    <w:rsid w:val="006867D0"/>
    <w:rsid w:val="00690AB0"/>
    <w:rsid w:val="00691996"/>
    <w:rsid w:val="00692FEB"/>
    <w:rsid w:val="00695B52"/>
    <w:rsid w:val="00696AA1"/>
    <w:rsid w:val="00696DC0"/>
    <w:rsid w:val="006A00F3"/>
    <w:rsid w:val="006A0911"/>
    <w:rsid w:val="006A1906"/>
    <w:rsid w:val="006A284C"/>
    <w:rsid w:val="006A34AC"/>
    <w:rsid w:val="006A5A42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E6EE1"/>
    <w:rsid w:val="006F0CEF"/>
    <w:rsid w:val="006F1250"/>
    <w:rsid w:val="006F499F"/>
    <w:rsid w:val="006F6245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47ECB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D71CE"/>
    <w:rsid w:val="007E04D7"/>
    <w:rsid w:val="007E04DA"/>
    <w:rsid w:val="007E0996"/>
    <w:rsid w:val="007E3F90"/>
    <w:rsid w:val="007E57FD"/>
    <w:rsid w:val="007E72C9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1511F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3792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0A2A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27FF"/>
    <w:rsid w:val="00936EAA"/>
    <w:rsid w:val="0093710E"/>
    <w:rsid w:val="00942A5B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384"/>
    <w:rsid w:val="009A344B"/>
    <w:rsid w:val="009A3854"/>
    <w:rsid w:val="009A48B2"/>
    <w:rsid w:val="009A7EED"/>
    <w:rsid w:val="009B5F59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B21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A37BE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08B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1A63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3A7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89F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6B8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4A03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2807"/>
    <w:rsid w:val="00C84003"/>
    <w:rsid w:val="00C84302"/>
    <w:rsid w:val="00C8588D"/>
    <w:rsid w:val="00C861EA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2B6A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35498"/>
    <w:rsid w:val="00D41C0E"/>
    <w:rsid w:val="00D44058"/>
    <w:rsid w:val="00D440B0"/>
    <w:rsid w:val="00D446B8"/>
    <w:rsid w:val="00D45A1E"/>
    <w:rsid w:val="00D45F32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11F"/>
    <w:rsid w:val="00E11A89"/>
    <w:rsid w:val="00E131DD"/>
    <w:rsid w:val="00E14365"/>
    <w:rsid w:val="00E1464A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52BA"/>
    <w:rsid w:val="00E36B45"/>
    <w:rsid w:val="00E36D01"/>
    <w:rsid w:val="00E37008"/>
    <w:rsid w:val="00E37022"/>
    <w:rsid w:val="00E40085"/>
    <w:rsid w:val="00E411D3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5C70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00F7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04AF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33F1"/>
    <w:rsid w:val="00F95BD2"/>
    <w:rsid w:val="00F96EAC"/>
    <w:rsid w:val="00FA1A12"/>
    <w:rsid w:val="00FA62EF"/>
    <w:rsid w:val="00FB27C7"/>
    <w:rsid w:val="00FB72E1"/>
    <w:rsid w:val="00FC1CD3"/>
    <w:rsid w:val="00FC3038"/>
    <w:rsid w:val="00FC6643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82F86-21B0-43E5-8C07-404BBDE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5703-99DC-4CE5-928F-AD6C37F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0</TotalTime>
  <Pages>4</Pages>
  <Words>577</Words>
  <Characters>3294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2016-06-14T16:56:00Z</dcterms:created>
  <dcterms:modified xsi:type="dcterms:W3CDTF">2016-06-14T16:56:00Z</dcterms:modified>
  <cp:category>SDM Template</cp:category>
</cp:coreProperties>
</file>