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6"/>
        <w:tblW w:w="10080" w:type="dxa"/>
        <w:tblBorders>
          <w:top w:val="single" w:sz="4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  <w:gridCol w:w="2880"/>
      </w:tblGrid>
      <w:tr w:rsidR="00456518" w:rsidTr="003B2DA3">
        <w:tc>
          <w:tcPr>
            <w:tcW w:w="7200" w:type="dxa"/>
          </w:tcPr>
          <w:p w:rsidR="00456518" w:rsidRDefault="00456518" w:rsidP="003B2DA3">
            <w:pPr>
              <w:keepNext/>
              <w:keepLines/>
              <w:pageBreakBefore/>
              <w:rPr>
                <w:b/>
                <w:i/>
                <w:sz w:val="28"/>
              </w:rPr>
            </w:pPr>
            <w:r>
              <w:rPr>
                <w:b/>
                <w:i/>
                <w:sz w:val="36"/>
              </w:rPr>
              <w:t>MEETING MINUTES</w:t>
            </w:r>
          </w:p>
          <w:p w:rsidR="00456518" w:rsidRDefault="00456518" w:rsidP="003B2DA3">
            <w:pPr>
              <w:keepNext/>
              <w:keepLines/>
              <w:pageBreakBefore/>
            </w:pPr>
          </w:p>
          <w:p w:rsidR="003B2DA3" w:rsidRDefault="003B2DA3" w:rsidP="003B2DA3">
            <w:pPr>
              <w:keepNext/>
              <w:keepLines/>
              <w:pageBreakBefore/>
            </w:pPr>
          </w:p>
          <w:p w:rsidR="003B2DA3" w:rsidRDefault="003B2DA3" w:rsidP="003B2DA3">
            <w:pPr>
              <w:keepNext/>
              <w:keepLines/>
              <w:pageBreakBefore/>
            </w:pPr>
          </w:p>
        </w:tc>
        <w:tc>
          <w:tcPr>
            <w:tcW w:w="2880" w:type="dxa"/>
          </w:tcPr>
          <w:p w:rsidR="00456518" w:rsidRDefault="002D13A1" w:rsidP="003B2DA3">
            <w:pPr>
              <w:keepNext/>
              <w:keepLines/>
              <w:pageBreakBefore/>
              <w:jc w:val="right"/>
            </w:pPr>
            <w:r>
              <w:fldChar w:fldCharType="begin"/>
            </w:r>
            <w:r>
              <w:instrText xml:space="preserve"> AUTOTEXT "PIC Oracle Logo" \* MERGEFORMAT </w:instrText>
            </w:r>
            <w:r>
              <w:fldChar w:fldCharType="end"/>
            </w:r>
          </w:p>
        </w:tc>
      </w:tr>
    </w:tbl>
    <w:p w:rsidR="00456518" w:rsidRDefault="00456518">
      <w:pPr>
        <w:pStyle w:val="tty80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3918"/>
        <w:gridCol w:w="1559"/>
        <w:gridCol w:w="2411"/>
      </w:tblGrid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Meeting Name/Subject</w:t>
            </w:r>
            <w:r>
              <w:rPr>
                <w:sz w:val="22"/>
              </w:rPr>
              <w:t>:</w:t>
            </w:r>
          </w:p>
        </w:tc>
        <w:tc>
          <w:tcPr>
            <w:tcW w:w="7888" w:type="dxa"/>
            <w:gridSpan w:val="3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Billing and Collection Agent Oversight Working Group (B&amp;C WG)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3918" w:type="dxa"/>
          </w:tcPr>
          <w:p w:rsidR="00456518" w:rsidRDefault="003D1420" w:rsidP="007F7613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Tuesday</w:t>
            </w:r>
            <w:r w:rsidR="00A21D65">
              <w:rPr>
                <w:b/>
                <w:color w:val="0000FF"/>
                <w:sz w:val="22"/>
              </w:rPr>
              <w:t xml:space="preserve">, </w:t>
            </w:r>
            <w:r w:rsidR="007F7613">
              <w:rPr>
                <w:b/>
                <w:color w:val="0000FF"/>
                <w:sz w:val="22"/>
              </w:rPr>
              <w:t>January 28, 2014</w:t>
            </w:r>
          </w:p>
        </w:tc>
        <w:tc>
          <w:tcPr>
            <w:tcW w:w="1559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Time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2411" w:type="dxa"/>
          </w:tcPr>
          <w:p w:rsidR="00456518" w:rsidRDefault="00456518" w:rsidP="00001D92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 </w:t>
            </w:r>
            <w:r w:rsidR="00ED097A">
              <w:rPr>
                <w:b/>
                <w:color w:val="0000FF"/>
                <w:sz w:val="22"/>
              </w:rPr>
              <w:t>1</w:t>
            </w:r>
            <w:r w:rsidR="00001D92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:</w:t>
            </w:r>
            <w:r w:rsidR="002977AF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0-</w:t>
            </w:r>
            <w:r w:rsidR="00ED097A">
              <w:rPr>
                <w:b/>
                <w:color w:val="0000FF"/>
                <w:sz w:val="22"/>
              </w:rPr>
              <w:t>1</w:t>
            </w:r>
            <w:r w:rsidR="00001D92">
              <w:rPr>
                <w:b/>
                <w:color w:val="0000FF"/>
                <w:sz w:val="22"/>
              </w:rPr>
              <w:t>1</w:t>
            </w:r>
            <w:r>
              <w:rPr>
                <w:b/>
                <w:color w:val="0000FF"/>
                <w:sz w:val="22"/>
              </w:rPr>
              <w:t>:</w:t>
            </w:r>
            <w:r w:rsidR="002977AF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0pm Eastern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bCs/>
                <w:sz w:val="22"/>
              </w:rPr>
              <w:t>Type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of Meeting/Location:</w:t>
            </w:r>
          </w:p>
        </w:tc>
        <w:tc>
          <w:tcPr>
            <w:tcW w:w="7888" w:type="dxa"/>
            <w:gridSpan w:val="3"/>
          </w:tcPr>
          <w:p w:rsidR="00456518" w:rsidRDefault="00456518" w:rsidP="00DF1231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Conference Call</w:t>
            </w:r>
            <w:r w:rsidR="00521646">
              <w:rPr>
                <w:b/>
                <w:color w:val="0000FF"/>
                <w:sz w:val="22"/>
              </w:rPr>
              <w:t xml:space="preserve">  </w:t>
            </w:r>
            <w:r w:rsidR="00DF1231">
              <w:rPr>
                <w:b/>
                <w:color w:val="0000FF"/>
                <w:sz w:val="22"/>
              </w:rPr>
              <w:t xml:space="preserve"> 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Meeting Attendees:</w:t>
            </w:r>
          </w:p>
        </w:tc>
        <w:tc>
          <w:tcPr>
            <w:tcW w:w="7888" w:type="dxa"/>
            <w:gridSpan w:val="3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10"/>
              <w:gridCol w:w="4652"/>
            </w:tblGrid>
            <w:tr w:rsidR="00456518" w:rsidTr="005D2650">
              <w:trPr>
                <w:trHeight w:val="431"/>
              </w:trPr>
              <w:tc>
                <w:tcPr>
                  <w:tcW w:w="3010" w:type="dxa"/>
                </w:tcPr>
                <w:p w:rsidR="00456518" w:rsidRDefault="00456518">
                  <w:pPr>
                    <w:spacing w:before="120" w:after="120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Company</w:t>
                  </w:r>
                </w:p>
              </w:tc>
              <w:tc>
                <w:tcPr>
                  <w:tcW w:w="4652" w:type="dxa"/>
                </w:tcPr>
                <w:p w:rsidR="00456518" w:rsidRDefault="00456518">
                  <w:pPr>
                    <w:spacing w:before="120" w:after="120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 xml:space="preserve">Participant List/ Attendance in Bold </w:t>
                  </w:r>
                </w:p>
              </w:tc>
            </w:tr>
            <w:tr w:rsidR="006107FD" w:rsidTr="00393568">
              <w:trPr>
                <w:trHeight w:val="305"/>
              </w:trPr>
              <w:tc>
                <w:tcPr>
                  <w:tcW w:w="3010" w:type="dxa"/>
                </w:tcPr>
                <w:p w:rsidR="006107FD" w:rsidRDefault="006107FD" w:rsidP="00EA4664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AT&amp;T</w:t>
                  </w:r>
                </w:p>
              </w:tc>
              <w:tc>
                <w:tcPr>
                  <w:tcW w:w="4652" w:type="dxa"/>
                </w:tcPr>
                <w:p w:rsidR="006107FD" w:rsidRPr="0031673D" w:rsidRDefault="000466A2" w:rsidP="00EA4664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31673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Mark Lancaster</w:t>
                  </w:r>
                </w:p>
              </w:tc>
            </w:tr>
            <w:tr w:rsidR="006107FD" w:rsidTr="00825B19">
              <w:tc>
                <w:tcPr>
                  <w:tcW w:w="3010" w:type="dxa"/>
                </w:tcPr>
                <w:p w:rsidR="006107FD" w:rsidRDefault="00AA282F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Century Link</w:t>
                  </w:r>
                </w:p>
              </w:tc>
              <w:tc>
                <w:tcPr>
                  <w:tcW w:w="4652" w:type="dxa"/>
                </w:tcPr>
                <w:p w:rsidR="006107FD" w:rsidRPr="00FD585F" w:rsidRDefault="00AA282F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D585F">
                    <w:rPr>
                      <w:rFonts w:ascii="Times New Roman" w:hAnsi="Times New Roman"/>
                      <w:b/>
                      <w:color w:val="000000"/>
                    </w:rPr>
                    <w:t>Mary Retka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Pr="00D3108A" w:rsidRDefault="00AA282F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 w:rsidRPr="00D3108A">
                    <w:rPr>
                      <w:rFonts w:ascii="Times New Roman" w:hAnsi="Times New Roman"/>
                      <w:b/>
                      <w:color w:val="0000FF"/>
                    </w:rPr>
                    <w:t>Cox Communications</w:t>
                  </w:r>
                </w:p>
              </w:tc>
              <w:tc>
                <w:tcPr>
                  <w:tcW w:w="4652" w:type="dxa"/>
                </w:tcPr>
                <w:p w:rsidR="00825B19" w:rsidRPr="007F7613" w:rsidRDefault="00AA282F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7F7613">
                    <w:rPr>
                      <w:rFonts w:ascii="Times New Roman" w:hAnsi="Times New Roman"/>
                      <w:b/>
                      <w:color w:val="000000"/>
                    </w:rPr>
                    <w:t>Beth O'Donnell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rPr>
                      <w:rFonts w:ascii="Times New Roman" w:hAnsi="Times New Roman"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Sprint</w:t>
                  </w:r>
                </w:p>
              </w:tc>
              <w:tc>
                <w:tcPr>
                  <w:tcW w:w="4652" w:type="dxa"/>
                </w:tcPr>
                <w:p w:rsidR="00825B19" w:rsidRPr="00F54000" w:rsidRDefault="00825B19" w:rsidP="006D7F11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54000">
                    <w:rPr>
                      <w:rFonts w:ascii="Times New Roman" w:hAnsi="Times New Roman"/>
                      <w:b/>
                      <w:color w:val="000000"/>
                    </w:rPr>
                    <w:t>Rosemary Emmer</w:t>
                  </w:r>
                  <w:r w:rsidRPr="00F54000">
                    <w:rPr>
                      <w:rFonts w:ascii="Times New Roman" w:hAnsi="Times New Roman"/>
                      <w:color w:val="000000"/>
                    </w:rPr>
                    <w:t xml:space="preserve">, </w:t>
                  </w:r>
                  <w:r w:rsidRPr="007F7613">
                    <w:rPr>
                      <w:rFonts w:ascii="Times New Roman" w:hAnsi="Times New Roman"/>
                      <w:b/>
                      <w:color w:val="000000"/>
                    </w:rPr>
                    <w:t>Karen Riepenkroger</w:t>
                  </w:r>
                </w:p>
              </w:tc>
            </w:tr>
            <w:tr w:rsidR="0076615C" w:rsidTr="00825B19">
              <w:tc>
                <w:tcPr>
                  <w:tcW w:w="3010" w:type="dxa"/>
                </w:tcPr>
                <w:p w:rsidR="0076615C" w:rsidRDefault="0076615C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T-Mobile</w:t>
                  </w:r>
                </w:p>
              </w:tc>
              <w:tc>
                <w:tcPr>
                  <w:tcW w:w="4652" w:type="dxa"/>
                </w:tcPr>
                <w:p w:rsidR="0076615C" w:rsidRPr="007F7613" w:rsidRDefault="0076615C" w:rsidP="006D7F11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F7613">
                    <w:rPr>
                      <w:rFonts w:ascii="Times New Roman" w:hAnsi="Times New Roman"/>
                      <w:color w:val="000000" w:themeColor="text1"/>
                    </w:rPr>
                    <w:t>Michele Thomas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Verizon Communications</w:t>
                  </w:r>
                </w:p>
              </w:tc>
              <w:tc>
                <w:tcPr>
                  <w:tcW w:w="4652" w:type="dxa"/>
                </w:tcPr>
                <w:p w:rsidR="00825B19" w:rsidRPr="00AC57BE" w:rsidRDefault="00825B19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C57BE">
                    <w:rPr>
                      <w:rFonts w:ascii="Times New Roman" w:hAnsi="Times New Roman"/>
                      <w:b/>
                      <w:color w:val="000000"/>
                    </w:rPr>
                    <w:t>Tim Decker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  <w:sz w:val="20"/>
                    </w:rPr>
                  </w:pPr>
                  <w:r>
                    <w:rPr>
                      <w:b/>
                      <w:bCs/>
                      <w:color w:val="0000FF"/>
                      <w:sz w:val="20"/>
                    </w:rPr>
                    <w:t>FCC</w:t>
                  </w:r>
                </w:p>
              </w:tc>
              <w:tc>
                <w:tcPr>
                  <w:tcW w:w="4652" w:type="dxa"/>
                </w:tcPr>
                <w:p w:rsidR="00825B19" w:rsidRPr="00F54000" w:rsidRDefault="00825B19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F54000">
                    <w:rPr>
                      <w:bCs/>
                      <w:color w:val="000000"/>
                      <w:sz w:val="20"/>
                    </w:rPr>
                    <w:t xml:space="preserve">Ann Stevens, </w:t>
                  </w:r>
                  <w:r w:rsidRPr="00653418">
                    <w:rPr>
                      <w:bCs/>
                      <w:color w:val="000000"/>
                      <w:sz w:val="20"/>
                    </w:rPr>
                    <w:t xml:space="preserve">Gary </w:t>
                  </w:r>
                  <w:proofErr w:type="spellStart"/>
                  <w:r w:rsidRPr="00653418">
                    <w:rPr>
                      <w:bCs/>
                      <w:color w:val="000000"/>
                      <w:sz w:val="20"/>
                    </w:rPr>
                    <w:t>Remondino</w:t>
                  </w:r>
                  <w:proofErr w:type="spellEnd"/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NANC</w:t>
                  </w:r>
                </w:p>
              </w:tc>
              <w:tc>
                <w:tcPr>
                  <w:tcW w:w="4652" w:type="dxa"/>
                </w:tcPr>
                <w:p w:rsidR="00825B19" w:rsidRPr="00F54000" w:rsidRDefault="00825B19" w:rsidP="007C76DD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F54000">
                    <w:rPr>
                      <w:bCs/>
                      <w:color w:val="000000"/>
                      <w:sz w:val="20"/>
                    </w:rPr>
                    <w:t>Chairman Betty Ann Kane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</w:rPr>
                  </w:pPr>
                  <w:r w:rsidRPr="00F941E1">
                    <w:rPr>
                      <w:b/>
                      <w:bCs/>
                      <w:color w:val="0000FF"/>
                    </w:rPr>
                    <w:t xml:space="preserve">Welch </w:t>
                  </w:r>
                  <w:r>
                    <w:rPr>
                      <w:b/>
                      <w:bCs/>
                      <w:color w:val="0000FF"/>
                    </w:rPr>
                    <w:t>LLP</w:t>
                  </w:r>
                </w:p>
              </w:tc>
              <w:tc>
                <w:tcPr>
                  <w:tcW w:w="4652" w:type="dxa"/>
                </w:tcPr>
                <w:p w:rsidR="00825B19" w:rsidRPr="00F54000" w:rsidRDefault="00825B19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F54000">
                    <w:rPr>
                      <w:color w:val="000000"/>
                      <w:sz w:val="20"/>
                    </w:rPr>
                    <w:t xml:space="preserve">Faith </w:t>
                  </w:r>
                  <w:proofErr w:type="spellStart"/>
                  <w:r w:rsidRPr="00F54000">
                    <w:rPr>
                      <w:color w:val="000000"/>
                      <w:sz w:val="20"/>
                    </w:rPr>
                    <w:t>Marcott</w:t>
                  </w:r>
                  <w:proofErr w:type="spellEnd"/>
                  <w:r w:rsidRPr="00F54000">
                    <w:rPr>
                      <w:color w:val="000000"/>
                      <w:sz w:val="20"/>
                    </w:rPr>
                    <w:t xml:space="preserve">, </w:t>
                  </w:r>
                  <w:r w:rsidRPr="00F54000">
                    <w:rPr>
                      <w:bCs/>
                      <w:color w:val="000000"/>
                      <w:sz w:val="20"/>
                    </w:rPr>
                    <w:t xml:space="preserve">Garth Steele, </w:t>
                  </w:r>
                  <w:r w:rsidRPr="00ED54C8">
                    <w:rPr>
                      <w:b/>
                      <w:bCs/>
                      <w:color w:val="000000"/>
                      <w:sz w:val="20"/>
                    </w:rPr>
                    <w:t xml:space="preserve">Heather </w:t>
                  </w:r>
                  <w:proofErr w:type="spellStart"/>
                  <w:r w:rsidRPr="00ED54C8">
                    <w:rPr>
                      <w:b/>
                      <w:bCs/>
                      <w:color w:val="000000"/>
                      <w:sz w:val="20"/>
                    </w:rPr>
                    <w:t>Bambrough</w:t>
                  </w:r>
                  <w:proofErr w:type="spellEnd"/>
                </w:p>
              </w:tc>
            </w:tr>
          </w:tbl>
          <w:p w:rsidR="00456518" w:rsidRDefault="00456518">
            <w:pPr>
              <w:spacing w:before="120" w:after="120"/>
              <w:rPr>
                <w:b/>
                <w:sz w:val="22"/>
              </w:rPr>
            </w:pP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Author:</w:t>
            </w:r>
          </w:p>
        </w:tc>
        <w:tc>
          <w:tcPr>
            <w:tcW w:w="7888" w:type="dxa"/>
            <w:gridSpan w:val="3"/>
          </w:tcPr>
          <w:p w:rsidR="00456518" w:rsidRDefault="0011587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color w:val="0000FF"/>
                <w:sz w:val="22"/>
              </w:rPr>
              <w:t>Rosemary Emmer</w:t>
            </w:r>
          </w:p>
        </w:tc>
      </w:tr>
    </w:tbl>
    <w:p w:rsidR="00456518" w:rsidRDefault="00456518" w:rsidP="000D1FBE">
      <w:pPr>
        <w:pBdr>
          <w:bottom w:val="single" w:sz="18" w:space="1" w:color="auto"/>
        </w:pBdr>
        <w:ind w:right="360"/>
        <w:rPr>
          <w:sz w:val="24"/>
        </w:rPr>
      </w:pPr>
    </w:p>
    <w:tbl>
      <w:tblPr>
        <w:tblW w:w="1017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3060"/>
      </w:tblGrid>
      <w:tr w:rsidR="00456518" w:rsidTr="003D4CDD">
        <w:trPr>
          <w:cantSplit/>
          <w:trHeight w:val="670"/>
          <w:tblHeader/>
        </w:trPr>
        <w:tc>
          <w:tcPr>
            <w:tcW w:w="71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0" w:color="auto" w:fill="auto"/>
          </w:tcPr>
          <w:p w:rsidR="00456518" w:rsidRDefault="002F016E">
            <w:pPr>
              <w:pStyle w:val="TableHeading"/>
              <w:jc w:val="center"/>
              <w:rPr>
                <w:sz w:val="24"/>
              </w:rPr>
            </w:pPr>
            <w:r>
              <w:rPr>
                <w:sz w:val="24"/>
              </w:rPr>
              <w:t>Meeting Notes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456518" w:rsidRDefault="003D1420">
            <w:pPr>
              <w:pStyle w:val="TableHeading"/>
              <w:jc w:val="center"/>
              <w:rPr>
                <w:sz w:val="24"/>
              </w:rPr>
            </w:pPr>
            <w:r>
              <w:rPr>
                <w:sz w:val="24"/>
              </w:rPr>
              <w:t>Action</w:t>
            </w:r>
            <w:r w:rsidR="00456518">
              <w:rPr>
                <w:sz w:val="24"/>
              </w:rPr>
              <w:t>/Due Date</w:t>
            </w:r>
          </w:p>
        </w:tc>
      </w:tr>
      <w:tr w:rsidR="00456518" w:rsidTr="003D4CDD">
        <w:trPr>
          <w:cantSplit/>
          <w:trHeight w:hRule="exact" w:val="60"/>
          <w:tblHeader/>
        </w:trPr>
        <w:tc>
          <w:tcPr>
            <w:tcW w:w="7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456518" w:rsidRDefault="00456518">
            <w:pPr>
              <w:pStyle w:val="TableText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456518" w:rsidRDefault="00456518">
            <w:pPr>
              <w:pStyle w:val="TableText"/>
              <w:rPr>
                <w:sz w:val="24"/>
              </w:rPr>
            </w:pPr>
          </w:p>
        </w:tc>
      </w:tr>
      <w:tr w:rsidR="003B2DCC" w:rsidTr="003D4CDD">
        <w:trPr>
          <w:cantSplit/>
        </w:trPr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</w:tcPr>
          <w:p w:rsidR="00787237" w:rsidRDefault="00787237" w:rsidP="0078723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Proposed Agenda:</w:t>
            </w:r>
          </w:p>
          <w:p w:rsidR="00787237" w:rsidRDefault="00787237" w:rsidP="0078723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8F734B" w:rsidRDefault="008F734B" w:rsidP="008F734B">
            <w:r>
              <w:rPr>
                <w:rFonts w:ascii="Arial" w:hAnsi="Arial" w:cs="Arial"/>
                <w:b/>
                <w:bCs/>
                <w:color w:val="FF0000"/>
              </w:rPr>
              <w:t>Open Portion:</w:t>
            </w:r>
          </w:p>
          <w:p w:rsidR="008F734B" w:rsidRDefault="008F734B" w:rsidP="008F734B">
            <w:r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  <w:p w:rsidR="008F734B" w:rsidRDefault="008F734B" w:rsidP="008F734B">
            <w:pPr>
              <w:pStyle w:val="ListParagraph"/>
              <w:ind w:hanging="360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>
              <w:rPr>
                <w:rFonts w:ascii="Arial" w:hAnsi="Arial" w:cs="Arial"/>
              </w:rPr>
              <w:t>Approve December 17, 2013 meeting notes</w:t>
            </w:r>
          </w:p>
          <w:p w:rsidR="008F734B" w:rsidRDefault="008F734B" w:rsidP="008F734B">
            <w:pPr>
              <w:pStyle w:val="ListParagraph"/>
              <w:ind w:hanging="360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 w:rsidR="00786581">
              <w:rPr>
                <w:rFonts w:ascii="Arial" w:hAnsi="Arial" w:cs="Arial"/>
              </w:rPr>
              <w:t>Review December</w:t>
            </w:r>
            <w:r>
              <w:rPr>
                <w:rFonts w:ascii="Arial" w:hAnsi="Arial" w:cs="Arial"/>
              </w:rPr>
              <w:t xml:space="preserve"> NANP Report (Welch)</w:t>
            </w:r>
          </w:p>
          <w:p w:rsidR="008F734B" w:rsidRDefault="008F734B" w:rsidP="008F734B">
            <w:pPr>
              <w:pStyle w:val="ListParagraph"/>
              <w:ind w:hanging="360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>
              <w:rPr>
                <w:rFonts w:ascii="Arial" w:hAnsi="Arial" w:cs="Arial"/>
              </w:rPr>
              <w:t>Review Operational Report (Welch)</w:t>
            </w:r>
          </w:p>
          <w:p w:rsidR="008F734B" w:rsidRDefault="008F734B" w:rsidP="008F734B">
            <w:pPr>
              <w:pStyle w:val="ListParagraph"/>
              <w:ind w:hanging="360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>
              <w:rPr>
                <w:rFonts w:ascii="Arial" w:hAnsi="Arial" w:cs="Arial"/>
              </w:rPr>
              <w:t>Review draft contribution factor proposal (Welch)</w:t>
            </w:r>
          </w:p>
          <w:p w:rsidR="008F734B" w:rsidRDefault="008F734B" w:rsidP="008F734B">
            <w:pPr>
              <w:ind w:left="360"/>
            </w:pPr>
            <w:r>
              <w:rPr>
                <w:rFonts w:ascii="Arial" w:hAnsi="Arial" w:cs="Arial"/>
              </w:rPr>
              <w:t> </w:t>
            </w:r>
          </w:p>
          <w:p w:rsidR="008F734B" w:rsidRDefault="008F734B" w:rsidP="008F734B">
            <w:r>
              <w:rPr>
                <w:rFonts w:ascii="Arial" w:hAnsi="Arial" w:cs="Arial"/>
                <w:b/>
                <w:bCs/>
              </w:rPr>
              <w:t> </w:t>
            </w:r>
          </w:p>
          <w:p w:rsidR="008F734B" w:rsidRDefault="008F734B" w:rsidP="008F734B">
            <w:r>
              <w:rPr>
                <w:rFonts w:ascii="Arial" w:hAnsi="Arial" w:cs="Arial"/>
                <w:b/>
                <w:bCs/>
                <w:color w:val="FF0000"/>
              </w:rPr>
              <w:t>Closed Portion:</w:t>
            </w:r>
          </w:p>
          <w:p w:rsidR="008F734B" w:rsidRDefault="008F734B" w:rsidP="008F734B">
            <w:r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  <w:p w:rsidR="008F734B" w:rsidRDefault="008F734B" w:rsidP="008F734B">
            <w:pPr>
              <w:pStyle w:val="ListParagraph"/>
              <w:ind w:hanging="360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>
              <w:rPr>
                <w:rFonts w:ascii="Arial" w:hAnsi="Arial" w:cs="Arial"/>
              </w:rPr>
              <w:t>Deliverable Doc   (Dec)</w:t>
            </w:r>
          </w:p>
          <w:p w:rsidR="008F734B" w:rsidRDefault="008F734B" w:rsidP="008F734B">
            <w:r>
              <w:rPr>
                <w:rFonts w:ascii="Arial" w:hAnsi="Arial" w:cs="Arial"/>
                <w:i/>
                <w:iCs/>
              </w:rPr>
              <w:t> </w:t>
            </w:r>
          </w:p>
          <w:p w:rsidR="00787237" w:rsidRPr="00233777" w:rsidRDefault="00233777" w:rsidP="00787237">
            <w:pPr>
              <w:rPr>
                <w:rFonts w:ascii="Arial" w:eastAsiaTheme="minorHAnsi" w:hAnsi="Arial" w:cs="Arial"/>
                <w:b/>
                <w:color w:val="FF0000"/>
              </w:rPr>
            </w:pPr>
            <w:r w:rsidRPr="00233777">
              <w:rPr>
                <w:rFonts w:ascii="Arial" w:eastAsiaTheme="minorHAnsi" w:hAnsi="Arial" w:cs="Arial"/>
                <w:b/>
                <w:color w:val="FF0000"/>
              </w:rPr>
              <w:t>Discussion:</w:t>
            </w:r>
          </w:p>
          <w:p w:rsidR="00233777" w:rsidRDefault="00233777" w:rsidP="00787237">
            <w:pPr>
              <w:rPr>
                <w:rFonts w:ascii="Arial" w:eastAsiaTheme="minorHAnsi" w:hAnsi="Arial" w:cs="Arial"/>
              </w:rPr>
            </w:pPr>
          </w:p>
          <w:p w:rsidR="003B2DCC" w:rsidRPr="0027169F" w:rsidRDefault="0027169F" w:rsidP="00E83F6E">
            <w:pPr>
              <w:rPr>
                <w:rFonts w:cs="Arial"/>
                <w:b/>
                <w:sz w:val="22"/>
                <w:szCs w:val="22"/>
              </w:rPr>
            </w:pPr>
            <w:r w:rsidRPr="0027169F">
              <w:rPr>
                <w:rFonts w:cs="Arial"/>
                <w:b/>
                <w:sz w:val="22"/>
                <w:szCs w:val="22"/>
              </w:rPr>
              <w:t>Move towards changing the Funding year closer to Fiscal year</w:t>
            </w:r>
          </w:p>
          <w:p w:rsidR="0027169F" w:rsidRDefault="0027169F" w:rsidP="0027169F">
            <w:pPr>
              <w:pStyle w:val="TableText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before="120" w:after="40"/>
              <w:rPr>
                <w:sz w:val="22"/>
              </w:rPr>
            </w:pPr>
            <w:r>
              <w:rPr>
                <w:sz w:val="22"/>
              </w:rPr>
              <w:t>Every year we have a problem with having to fo</w:t>
            </w:r>
            <w:r w:rsidR="00A373C6">
              <w:rPr>
                <w:sz w:val="22"/>
              </w:rPr>
              <w:t>re</w:t>
            </w:r>
            <w:r>
              <w:rPr>
                <w:sz w:val="22"/>
              </w:rPr>
              <w:t xml:space="preserve">cast the budget </w:t>
            </w:r>
            <w:r w:rsidR="00233777">
              <w:rPr>
                <w:sz w:val="22"/>
              </w:rPr>
              <w:t>and contribution factor without the proper tools. T</w:t>
            </w:r>
            <w:r w:rsidR="006C036E">
              <w:rPr>
                <w:sz w:val="22"/>
              </w:rPr>
              <w:t>he Form 499A is only due in April and USAC requires time to co</w:t>
            </w:r>
            <w:r w:rsidR="00233777">
              <w:rPr>
                <w:sz w:val="22"/>
              </w:rPr>
              <w:t>llate the data in April and May. We have a trend now where w</w:t>
            </w:r>
            <w:r>
              <w:rPr>
                <w:sz w:val="22"/>
              </w:rPr>
              <w:t xml:space="preserve">e </w:t>
            </w:r>
            <w:r w:rsidR="00A373C6">
              <w:rPr>
                <w:sz w:val="22"/>
              </w:rPr>
              <w:t xml:space="preserve">ask the NANC to approve what amounts to a ‘draft’ budget and contribution factor during the 1Q – and inevitably based on what comes from USAC we have to ask the NANC to approve a final budget and contribution factor different from the draft. </w:t>
            </w:r>
            <w:bookmarkStart w:id="0" w:name="_GoBack"/>
            <w:bookmarkEnd w:id="0"/>
          </w:p>
          <w:p w:rsidR="0027169F" w:rsidRDefault="0027169F" w:rsidP="0027169F">
            <w:pPr>
              <w:pStyle w:val="TableText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before="120" w:after="40"/>
              <w:rPr>
                <w:sz w:val="22"/>
              </w:rPr>
            </w:pPr>
            <w:r>
              <w:rPr>
                <w:sz w:val="22"/>
              </w:rPr>
              <w:t>Currently</w:t>
            </w:r>
            <w:r w:rsidR="006C036E">
              <w:rPr>
                <w:sz w:val="22"/>
              </w:rPr>
              <w:t xml:space="preserve"> the funding</w:t>
            </w:r>
            <w:r>
              <w:rPr>
                <w:sz w:val="22"/>
              </w:rPr>
              <w:t xml:space="preserve"> year ends</w:t>
            </w:r>
            <w:r w:rsidR="006C036E">
              <w:rPr>
                <w:sz w:val="22"/>
              </w:rPr>
              <w:t xml:space="preserve"> in June. We bill in June based on revenue figures received in </w:t>
            </w:r>
            <w:r>
              <w:rPr>
                <w:sz w:val="22"/>
              </w:rPr>
              <w:t>May and we collect in July – it would be better if we bill in July/August and collect in September</w:t>
            </w:r>
            <w:r w:rsidR="00233777">
              <w:rPr>
                <w:sz w:val="22"/>
              </w:rPr>
              <w:t>.</w:t>
            </w:r>
          </w:p>
          <w:p w:rsidR="0027169F" w:rsidRDefault="0027169F" w:rsidP="0027169F">
            <w:pPr>
              <w:pStyle w:val="TableText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before="120" w:after="40"/>
              <w:rPr>
                <w:sz w:val="22"/>
              </w:rPr>
            </w:pPr>
            <w:r>
              <w:rPr>
                <w:sz w:val="22"/>
              </w:rPr>
              <w:t>We’d have to have a one year notice in order to set the contribution factor higher to carrier us through possibly 16 months funding period during the transition instead of 12 months</w:t>
            </w:r>
          </w:p>
          <w:p w:rsidR="0027169F" w:rsidRDefault="0027169F" w:rsidP="0027169F">
            <w:pPr>
              <w:pStyle w:val="TableText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before="120" w:after="40"/>
              <w:rPr>
                <w:sz w:val="22"/>
              </w:rPr>
            </w:pPr>
            <w:r>
              <w:rPr>
                <w:sz w:val="22"/>
              </w:rPr>
              <w:t xml:space="preserve">September timeframe ideal to line up with fiscal timeframe budget </w:t>
            </w:r>
          </w:p>
          <w:p w:rsidR="0027169F" w:rsidRDefault="0027169F" w:rsidP="0027169F">
            <w:pPr>
              <w:pStyle w:val="TableText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before="120" w:after="40"/>
              <w:rPr>
                <w:sz w:val="22"/>
              </w:rPr>
            </w:pPr>
            <w:r>
              <w:rPr>
                <w:sz w:val="22"/>
              </w:rPr>
              <w:t xml:space="preserve">Talk to Gary </w:t>
            </w:r>
            <w:proofErr w:type="spellStart"/>
            <w:r>
              <w:rPr>
                <w:sz w:val="22"/>
              </w:rPr>
              <w:t>Remondino</w:t>
            </w:r>
            <w:proofErr w:type="spellEnd"/>
            <w:r>
              <w:rPr>
                <w:sz w:val="22"/>
              </w:rPr>
              <w:t xml:space="preserve"> about this (co-chairs)</w:t>
            </w:r>
          </w:p>
          <w:p w:rsidR="0027169F" w:rsidRDefault="0027169F" w:rsidP="00E83F6E">
            <w:pPr>
              <w:rPr>
                <w:rFonts w:cs="Arial"/>
                <w:sz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E2047F" w:rsidRDefault="00787237" w:rsidP="005D2650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761BF" w:rsidRDefault="008F734B" w:rsidP="000A3E8E">
            <w:pPr>
              <w:pStyle w:val="TableText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before="120" w:after="40"/>
              <w:rPr>
                <w:sz w:val="22"/>
              </w:rPr>
            </w:pPr>
            <w:r>
              <w:rPr>
                <w:sz w:val="22"/>
              </w:rPr>
              <w:t xml:space="preserve">Dec </w:t>
            </w:r>
            <w:r w:rsidR="004761BF">
              <w:rPr>
                <w:sz w:val="22"/>
              </w:rPr>
              <w:t>meeting minutes approved</w:t>
            </w:r>
          </w:p>
          <w:p w:rsidR="00A76BF4" w:rsidRDefault="00A76BF4" w:rsidP="000A3E8E">
            <w:pPr>
              <w:pStyle w:val="TableText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before="120" w:after="40"/>
              <w:rPr>
                <w:sz w:val="22"/>
              </w:rPr>
            </w:pPr>
            <w:r>
              <w:rPr>
                <w:sz w:val="22"/>
              </w:rPr>
              <w:t>Rosemary to send to John Manning for update to NANC chair website</w:t>
            </w:r>
          </w:p>
          <w:p w:rsidR="0027169F" w:rsidRDefault="0027169F" w:rsidP="000A3E8E">
            <w:pPr>
              <w:pStyle w:val="TableText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before="120" w:after="40"/>
              <w:rPr>
                <w:sz w:val="22"/>
              </w:rPr>
            </w:pPr>
            <w:r>
              <w:rPr>
                <w:sz w:val="22"/>
              </w:rPr>
              <w:t>Co-</w:t>
            </w:r>
            <w:r w:rsidR="00991B37">
              <w:rPr>
                <w:sz w:val="22"/>
              </w:rPr>
              <w:t xml:space="preserve">chairs send note to Gary </w:t>
            </w:r>
            <w:proofErr w:type="spellStart"/>
            <w:r>
              <w:rPr>
                <w:sz w:val="22"/>
              </w:rPr>
              <w:t>Remondino</w:t>
            </w:r>
            <w:proofErr w:type="spellEnd"/>
            <w:r>
              <w:rPr>
                <w:sz w:val="22"/>
              </w:rPr>
              <w:t xml:space="preserve"> regarding the idea of changing the </w:t>
            </w:r>
            <w:r w:rsidR="00991B37">
              <w:rPr>
                <w:sz w:val="22"/>
              </w:rPr>
              <w:t xml:space="preserve">end of budget </w:t>
            </w:r>
            <w:r>
              <w:rPr>
                <w:sz w:val="22"/>
              </w:rPr>
              <w:t xml:space="preserve">year </w:t>
            </w:r>
            <w:r w:rsidR="00991B37">
              <w:rPr>
                <w:sz w:val="22"/>
              </w:rPr>
              <w:t xml:space="preserve">end </w:t>
            </w:r>
            <w:r w:rsidR="00A373C6">
              <w:rPr>
                <w:sz w:val="22"/>
              </w:rPr>
              <w:t>in the September timeframe</w:t>
            </w:r>
          </w:p>
          <w:p w:rsidR="00A373C6" w:rsidRDefault="00A373C6" w:rsidP="00A373C6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  <w:p w:rsidR="0027169F" w:rsidRDefault="0027169F" w:rsidP="00A373C6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  <w:p w:rsidR="003B74EF" w:rsidRDefault="003B74EF" w:rsidP="00BF18F3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  <w:p w:rsidR="000A3E8E" w:rsidRDefault="000A3E8E" w:rsidP="00A21D65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</w:tc>
      </w:tr>
    </w:tbl>
    <w:p w:rsidR="0031673D" w:rsidRDefault="0031673D">
      <w:r>
        <w:br w:type="page"/>
      </w:r>
    </w:p>
    <w:tbl>
      <w:tblPr>
        <w:tblW w:w="1017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3060"/>
      </w:tblGrid>
      <w:tr w:rsidR="008014CD" w:rsidTr="003D4CDD">
        <w:trPr>
          <w:cantSplit/>
        </w:trPr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</w:tcPr>
          <w:p w:rsidR="008014CD" w:rsidRDefault="008014CD" w:rsidP="00E6164D">
            <w:pPr>
              <w:autoSpaceDE w:val="0"/>
              <w:autoSpaceDN w:val="0"/>
              <w:adjustRightInd w:val="0"/>
            </w:pPr>
          </w:p>
          <w:p w:rsidR="005B1B32" w:rsidRDefault="005B1B32" w:rsidP="005B1B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Funding Options Discussed</w:t>
            </w:r>
          </w:p>
          <w:p w:rsidR="005B1B32" w:rsidRDefault="005B1B32" w:rsidP="005B1B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5B1B32" w:rsidRDefault="005B1B32" w:rsidP="005B1B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The options provided subsidize the funding requirement by using up all of the surplus fund balance</w:t>
            </w:r>
          </w:p>
          <w:p w:rsidR="005B1B32" w:rsidRDefault="005B1B32" w:rsidP="005B1B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5B1B32" w:rsidRDefault="005B1B32" w:rsidP="005B1B3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Balance to be funded 7 ,041,526</w:t>
            </w:r>
          </w:p>
          <w:p w:rsidR="005B1B32" w:rsidRDefault="005B1B32" w:rsidP="005B1B3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Anticipated surplus at June 30/14 per Dec 31/13 NANC report (319,672)</w:t>
            </w:r>
          </w:p>
          <w:p w:rsidR="005B1B32" w:rsidRDefault="005B1B32" w:rsidP="005B1B3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Net US Carrier Contribution requirement 6,721,854</w:t>
            </w:r>
          </w:p>
          <w:p w:rsidR="005B1B32" w:rsidRDefault="005B1B32" w:rsidP="005B1B3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:rsidR="005B1B32" w:rsidRDefault="005B1B32" w:rsidP="005B1B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Contribution Factor</w:t>
            </w:r>
          </w:p>
          <w:p w:rsidR="005B1B32" w:rsidRDefault="005B1B32" w:rsidP="005B1B3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Option 1 </w:t>
            </w:r>
            <w:r>
              <w:rPr>
                <w:rFonts w:ascii="Arial" w:hAnsi="Arial" w:cs="Arial"/>
                <w:sz w:val="19"/>
                <w:szCs w:val="19"/>
              </w:rPr>
              <w:t>- If revenue base is $</w:t>
            </w:r>
            <w:r w:rsidR="006C036E">
              <w:rPr>
                <w:rFonts w:ascii="Arial" w:hAnsi="Arial" w:cs="Arial"/>
                <w:sz w:val="19"/>
                <w:szCs w:val="19"/>
              </w:rPr>
              <w:t xml:space="preserve">190B </w:t>
            </w:r>
            <w:r>
              <w:rPr>
                <w:rFonts w:ascii="Arial" w:hAnsi="Arial" w:cs="Arial"/>
                <w:sz w:val="19"/>
                <w:szCs w:val="19"/>
              </w:rPr>
              <w:t>0.0000354</w:t>
            </w:r>
          </w:p>
          <w:p w:rsidR="005B1B32" w:rsidRDefault="005B1B32" w:rsidP="005B1B3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Option 2 </w:t>
            </w:r>
            <w:r>
              <w:rPr>
                <w:rFonts w:ascii="Arial" w:hAnsi="Arial" w:cs="Arial"/>
                <w:sz w:val="19"/>
                <w:szCs w:val="19"/>
              </w:rPr>
              <w:t>- If revenue base is $</w:t>
            </w:r>
            <w:r w:rsidR="006C036E">
              <w:rPr>
                <w:rFonts w:ascii="Arial" w:hAnsi="Arial" w:cs="Arial"/>
                <w:sz w:val="19"/>
                <w:szCs w:val="19"/>
              </w:rPr>
              <w:t xml:space="preserve">187B </w:t>
            </w:r>
            <w:r>
              <w:rPr>
                <w:rFonts w:ascii="Arial" w:hAnsi="Arial" w:cs="Arial"/>
                <w:sz w:val="19"/>
                <w:szCs w:val="19"/>
              </w:rPr>
              <w:t>0.0000359</w:t>
            </w:r>
          </w:p>
          <w:p w:rsidR="008014CD" w:rsidRDefault="005B1B32" w:rsidP="005B1B32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Option 3 </w:t>
            </w:r>
            <w:r>
              <w:rPr>
                <w:rFonts w:ascii="Arial" w:hAnsi="Arial" w:cs="Arial"/>
                <w:sz w:val="19"/>
                <w:szCs w:val="19"/>
              </w:rPr>
              <w:t>- If revenue base is $</w:t>
            </w:r>
            <w:r w:rsidR="006C036E">
              <w:rPr>
                <w:rFonts w:ascii="Arial" w:hAnsi="Arial" w:cs="Arial"/>
                <w:sz w:val="19"/>
                <w:szCs w:val="19"/>
              </w:rPr>
              <w:t xml:space="preserve">184B </w:t>
            </w:r>
            <w:r>
              <w:rPr>
                <w:rFonts w:ascii="Arial" w:hAnsi="Arial" w:cs="Arial"/>
                <w:sz w:val="19"/>
                <w:szCs w:val="19"/>
              </w:rPr>
              <w:t>0.0000365</w:t>
            </w:r>
          </w:p>
          <w:p w:rsidR="008014CD" w:rsidRDefault="008014CD" w:rsidP="00E6164D">
            <w:pPr>
              <w:autoSpaceDE w:val="0"/>
              <w:autoSpaceDN w:val="0"/>
              <w:adjustRightInd w:val="0"/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8014CD" w:rsidRDefault="008014CD" w:rsidP="00E67124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</w:tr>
      <w:tr w:rsidR="00C57FDD" w:rsidTr="003D4CDD">
        <w:trPr>
          <w:cantSplit/>
        </w:trPr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</w:tcPr>
          <w:p w:rsidR="00C57FDD" w:rsidRDefault="00C57FDD" w:rsidP="00C57F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Deliverables Report</w:t>
            </w:r>
          </w:p>
          <w:p w:rsidR="00C57FDD" w:rsidRDefault="00C57FDD" w:rsidP="00C57F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C57FDD" w:rsidRDefault="00C57FDD" w:rsidP="00C57F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Distributing invoices</w:t>
            </w:r>
          </w:p>
          <w:p w:rsidR="00C57FDD" w:rsidRDefault="00C57FDD" w:rsidP="00C57F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monthly invoices for carriers were mailed by December 12, 2013.</w:t>
            </w:r>
          </w:p>
          <w:p w:rsidR="00C57FDD" w:rsidRDefault="00C57FDD" w:rsidP="00C57F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57FDD" w:rsidRDefault="00C57FDD" w:rsidP="00C57F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Processing Payments</w:t>
            </w:r>
          </w:p>
          <w:p w:rsidR="00C57FDD" w:rsidRDefault="00C57FDD" w:rsidP="00C57F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information from the lockbox service at Mellon Bank is now downloaded on a daily basis. The deposit information is recorded daily.</w:t>
            </w:r>
          </w:p>
          <w:p w:rsidR="00C57FDD" w:rsidRDefault="00C57FDD" w:rsidP="00C57F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57FDD" w:rsidRDefault="00C57FDD" w:rsidP="00C57F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Late/Absent Payments</w:t>
            </w:r>
          </w:p>
          <w:p w:rsidR="00C57FDD" w:rsidRDefault="00C57FDD" w:rsidP="00C57F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continuing with collection calls to carriers with outstanding balances. Statements were mailed at the beginning of the month to carriers with balances greater than $5.</w:t>
            </w:r>
          </w:p>
          <w:p w:rsidR="00C57FDD" w:rsidRDefault="00C57FDD" w:rsidP="00C57F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57FDD" w:rsidRDefault="00C57FDD" w:rsidP="00C57F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FCC Red Light Notices</w:t>
            </w:r>
          </w:p>
          <w:p w:rsidR="00C57FDD" w:rsidRDefault="00C57FDD" w:rsidP="00C57F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a minimum, an updated red light report is posted to the FCC server for processing once a week. When required, additional updates are posted.</w:t>
            </w:r>
          </w:p>
          <w:p w:rsidR="00C57FDD" w:rsidRDefault="00C57FDD" w:rsidP="00C57F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57FDD" w:rsidRDefault="00C57FDD" w:rsidP="00C57F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Helpdesk Queries</w:t>
            </w:r>
          </w:p>
          <w:p w:rsidR="00C57FDD" w:rsidRDefault="00C57FDD" w:rsidP="00C57F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queries are directed to a helpdesk voice mailbox. The information is transferred to an Access database.</w:t>
            </w:r>
            <w:r w:rsidR="002716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date, nature of call, name of caller, Filer ID, who responded and on what date and the resolution is</w:t>
            </w:r>
          </w:p>
          <w:p w:rsidR="00C57FDD" w:rsidRDefault="00C57FDD" w:rsidP="00C57F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tracked</w:t>
            </w:r>
            <w:proofErr w:type="gramEnd"/>
            <w:r>
              <w:rPr>
                <w:rFonts w:ascii="Arial" w:hAnsi="Arial" w:cs="Arial"/>
              </w:rPr>
              <w:t>. Calls are returned usually within 3 business days. 8 calls were received in December. Most calls</w:t>
            </w:r>
            <w:r w:rsidR="002716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were questions about the invoice received, the late filing fee, how to pay, request for copies of invoices, why</w:t>
            </w:r>
          </w:p>
          <w:p w:rsidR="00C57FDD" w:rsidRDefault="00C57FDD" w:rsidP="00C57F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are</w:t>
            </w:r>
            <w:proofErr w:type="gramEnd"/>
            <w:r>
              <w:rPr>
                <w:rFonts w:ascii="Arial" w:hAnsi="Arial" w:cs="Arial"/>
              </w:rPr>
              <w:t xml:space="preserve"> they red lighted, change of address, they are out of business or requesting a W9 and about the date of the invoice.</w:t>
            </w:r>
          </w:p>
          <w:p w:rsidR="00C57FDD" w:rsidRDefault="00C57FDD" w:rsidP="00C57F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57FDD" w:rsidRDefault="00C57FDD" w:rsidP="00C57F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Staffing Changes</w:t>
            </w:r>
          </w:p>
          <w:p w:rsidR="00C57FDD" w:rsidRDefault="00C57FDD" w:rsidP="00C57F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new to report.</w:t>
            </w:r>
          </w:p>
          <w:p w:rsidR="00C57FDD" w:rsidRDefault="00C57FDD" w:rsidP="00C57F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57FDD" w:rsidRDefault="00C57FDD" w:rsidP="00C57F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Contract Renewal</w:t>
            </w:r>
          </w:p>
          <w:p w:rsidR="00C57FDD" w:rsidRDefault="00C57FDD" w:rsidP="00C57F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contract expired October 1, 2009. Welch LLP is on the USGSA list. Welch LLP received an 8 month interim contract which includes a 2 month transition which will cover the period from December 1, 2013 to</w:t>
            </w:r>
          </w:p>
          <w:p w:rsidR="00C57FDD" w:rsidRDefault="00C57FDD" w:rsidP="00C57F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31, 2014.</w:t>
            </w:r>
          </w:p>
          <w:p w:rsidR="00C57FDD" w:rsidRDefault="00C57FDD" w:rsidP="00C57F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57FDD" w:rsidRDefault="00C57FDD" w:rsidP="00C57F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Accounts Receivable</w:t>
            </w:r>
          </w:p>
          <w:p w:rsidR="00C57FDD" w:rsidRDefault="00C57FDD" w:rsidP="0027169F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>We have created a program that will let us batch process debt so that delinquent debt can be uploaded to</w:t>
            </w:r>
            <w:r w:rsidR="002716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Treasury. Outstanding balances from the June 2013 billing will be submitted to Treasury in January 2014.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C57FDD" w:rsidRDefault="00C57FDD" w:rsidP="00E67124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</w:tr>
      <w:tr w:rsidR="0088091E" w:rsidTr="0058099B">
        <w:trPr>
          <w:cantSplit/>
        </w:trPr>
        <w:tc>
          <w:tcPr>
            <w:tcW w:w="10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8091E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FF0000"/>
                <w:sz w:val="40"/>
                <w:szCs w:val="40"/>
              </w:rPr>
            </w:pPr>
            <w:r w:rsidRPr="00305B53">
              <w:rPr>
                <w:b/>
                <w:color w:val="FF0000"/>
                <w:sz w:val="40"/>
                <w:szCs w:val="40"/>
              </w:rPr>
              <w:lastRenderedPageBreak/>
              <w:t>Next Call:</w:t>
            </w:r>
          </w:p>
          <w:p w:rsidR="0088091E" w:rsidRPr="00556E42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Tuesday</w:t>
            </w:r>
            <w:r w:rsidR="004819B1">
              <w:rPr>
                <w:b/>
                <w:color w:val="000000"/>
                <w:sz w:val="36"/>
                <w:szCs w:val="36"/>
              </w:rPr>
              <w:t xml:space="preserve">, </w:t>
            </w:r>
            <w:r w:rsidR="00DA6176">
              <w:rPr>
                <w:b/>
                <w:color w:val="000000"/>
                <w:sz w:val="36"/>
                <w:szCs w:val="36"/>
              </w:rPr>
              <w:t>February 25</w:t>
            </w:r>
            <w:r>
              <w:rPr>
                <w:b/>
                <w:color w:val="000000"/>
                <w:sz w:val="36"/>
                <w:szCs w:val="36"/>
              </w:rPr>
              <w:t>,</w:t>
            </w:r>
            <w:r w:rsidR="008F734B">
              <w:rPr>
                <w:b/>
                <w:color w:val="000000"/>
                <w:sz w:val="36"/>
                <w:szCs w:val="36"/>
              </w:rPr>
              <w:t xml:space="preserve"> 2014</w:t>
            </w:r>
          </w:p>
          <w:p w:rsidR="0088091E" w:rsidRPr="00BE4DAF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000000"/>
                <w:sz w:val="36"/>
                <w:szCs w:val="36"/>
              </w:rPr>
            </w:pPr>
            <w:r w:rsidRPr="00556E42">
              <w:rPr>
                <w:b/>
                <w:color w:val="000000"/>
                <w:sz w:val="36"/>
                <w:szCs w:val="36"/>
              </w:rPr>
              <w:t>1</w:t>
            </w:r>
            <w:r w:rsidR="004819B1">
              <w:rPr>
                <w:b/>
                <w:color w:val="000000"/>
                <w:sz w:val="36"/>
                <w:szCs w:val="36"/>
              </w:rPr>
              <w:t>0</w:t>
            </w:r>
            <w:r w:rsidRPr="00556E42">
              <w:rPr>
                <w:b/>
                <w:color w:val="000000"/>
                <w:sz w:val="36"/>
                <w:szCs w:val="36"/>
              </w:rPr>
              <w:t>:00am Eastern</w:t>
            </w:r>
            <w:r w:rsidRPr="00BE4DAF">
              <w:rPr>
                <w:b/>
                <w:color w:val="000000"/>
                <w:sz w:val="36"/>
                <w:szCs w:val="36"/>
              </w:rPr>
              <w:t xml:space="preserve"> 1 hour</w:t>
            </w:r>
          </w:p>
          <w:p w:rsidR="0088091E" w:rsidRDefault="0088091E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88091E" w:rsidRDefault="006231D2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Verizon</w:t>
            </w:r>
            <w:r w:rsidR="0088091E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Bridge</w:t>
            </w:r>
            <w:r w:rsidR="0088091E" w:rsidRPr="00F60234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         </w:t>
            </w:r>
            <w:r w:rsidR="0088091E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</w:t>
            </w:r>
          </w:p>
          <w:p w:rsidR="0088091E" w:rsidRPr="006231D2" w:rsidRDefault="0088091E" w:rsidP="006231D2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6231D2" w:rsidRPr="006231D2" w:rsidRDefault="006231D2" w:rsidP="006231D2">
            <w:pPr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6231D2">
              <w:rPr>
                <w:rFonts w:ascii="Arial" w:hAnsi="Arial" w:cs="Arial"/>
                <w:b/>
                <w:color w:val="000080"/>
                <w:sz w:val="24"/>
                <w:szCs w:val="24"/>
              </w:rPr>
              <w:t>Bridge Number: 866.798.6697</w:t>
            </w:r>
          </w:p>
          <w:p w:rsidR="006231D2" w:rsidRPr="006231D2" w:rsidRDefault="006231D2" w:rsidP="006231D2">
            <w:pPr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6231D2">
              <w:rPr>
                <w:rFonts w:ascii="Arial" w:hAnsi="Arial" w:cs="Arial"/>
                <w:b/>
                <w:color w:val="000080"/>
                <w:sz w:val="24"/>
                <w:szCs w:val="24"/>
              </w:rPr>
              <w:t>Pass Code: 286.3906#</w:t>
            </w:r>
          </w:p>
          <w:p w:rsidR="0088091E" w:rsidRPr="000E02A4" w:rsidRDefault="0088091E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</w:pPr>
          </w:p>
          <w:p w:rsidR="0088091E" w:rsidRPr="002232D0" w:rsidRDefault="0088091E" w:rsidP="0088091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32D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Proposed Agenda:</w:t>
            </w:r>
          </w:p>
          <w:p w:rsidR="0088091E" w:rsidRDefault="0088091E" w:rsidP="0088091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E1BE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Open Portion: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E6164D" w:rsidRPr="00B6341B" w:rsidRDefault="00E6164D" w:rsidP="00E6164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6341B">
              <w:rPr>
                <w:rFonts w:ascii="Arial" w:hAnsi="Arial" w:cs="Arial"/>
              </w:rPr>
              <w:t xml:space="preserve">Approve </w:t>
            </w:r>
            <w:r w:rsidR="00CE4FCE">
              <w:rPr>
                <w:rFonts w:ascii="Arial" w:hAnsi="Arial" w:cs="Arial"/>
              </w:rPr>
              <w:t>January 28, 2014</w:t>
            </w:r>
            <w:r w:rsidRPr="00B6341B">
              <w:rPr>
                <w:rFonts w:ascii="Arial" w:hAnsi="Arial" w:cs="Arial"/>
              </w:rPr>
              <w:t xml:space="preserve"> meeting notes</w:t>
            </w:r>
          </w:p>
          <w:p w:rsidR="00E6164D" w:rsidRDefault="00CE4FCE" w:rsidP="00E6164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January</w:t>
            </w:r>
            <w:r w:rsidR="00E6164D" w:rsidRPr="00B6341B">
              <w:rPr>
                <w:rFonts w:ascii="Arial" w:hAnsi="Arial" w:cs="Arial"/>
              </w:rPr>
              <w:t xml:space="preserve"> NANP Report (Welch)</w:t>
            </w:r>
          </w:p>
          <w:p w:rsidR="0027169F" w:rsidRDefault="0027169F" w:rsidP="00E6164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FCC Trial Order as it relates to this group</w:t>
            </w:r>
          </w:p>
          <w:p w:rsidR="0027169F" w:rsidRPr="00B6341B" w:rsidRDefault="0027169F" w:rsidP="00E6164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Budget and Contribution Factor</w:t>
            </w:r>
          </w:p>
          <w:p w:rsidR="00E6164D" w:rsidRDefault="00E6164D" w:rsidP="00E6164D">
            <w:pPr>
              <w:ind w:left="360"/>
              <w:rPr>
                <w:rFonts w:ascii="Arial" w:hAnsi="Arial" w:cs="Arial"/>
              </w:rPr>
            </w:pPr>
          </w:p>
          <w:p w:rsidR="00E6164D" w:rsidRDefault="00E6164D" w:rsidP="00E6164D">
            <w:pPr>
              <w:rPr>
                <w:rFonts w:ascii="Arial" w:hAnsi="Arial" w:cs="Arial"/>
                <w:b/>
                <w:bCs/>
              </w:rPr>
            </w:pP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Closed Portion: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E6164D" w:rsidRPr="00B6341B" w:rsidRDefault="00E6164D" w:rsidP="00E6164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6341B">
              <w:rPr>
                <w:rFonts w:ascii="Arial" w:hAnsi="Arial" w:cs="Arial"/>
              </w:rPr>
              <w:t>Deliverable Doc   (</w:t>
            </w:r>
            <w:r>
              <w:rPr>
                <w:rFonts w:ascii="Arial" w:hAnsi="Arial" w:cs="Arial"/>
              </w:rPr>
              <w:t>Dec</w:t>
            </w:r>
            <w:r w:rsidRPr="00B6341B">
              <w:rPr>
                <w:rFonts w:ascii="Arial" w:hAnsi="Arial" w:cs="Arial"/>
              </w:rPr>
              <w:t>)</w:t>
            </w:r>
          </w:p>
          <w:p w:rsidR="00E6164D" w:rsidRDefault="00E6164D" w:rsidP="00E6164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E6164D" w:rsidRPr="009E1BE1" w:rsidRDefault="00E6164D" w:rsidP="0088091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88091E" w:rsidRDefault="0088091E" w:rsidP="0088091E">
            <w:pPr>
              <w:ind w:left="360"/>
              <w:rPr>
                <w:rFonts w:ascii="Arial" w:hAnsi="Arial" w:cs="Arial"/>
              </w:rPr>
            </w:pPr>
          </w:p>
          <w:p w:rsidR="0088091E" w:rsidRPr="00FD62F1" w:rsidRDefault="0088091E" w:rsidP="00FD62F1">
            <w:pPr>
              <w:tabs>
                <w:tab w:val="left" w:pos="0"/>
                <w:tab w:val="left" w:pos="90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456518" w:rsidRDefault="00456518" w:rsidP="000D1FBE">
      <w:pPr>
        <w:pStyle w:val="tty80"/>
        <w:tabs>
          <w:tab w:val="left" w:pos="0"/>
          <w:tab w:val="left" w:pos="90"/>
        </w:tabs>
        <w:rPr>
          <w:rFonts w:ascii="Book Antiqua" w:hAnsi="Book Antiqua"/>
          <w:sz w:val="22"/>
        </w:rPr>
      </w:pPr>
    </w:p>
    <w:sectPr w:rsidR="00456518" w:rsidSect="00AB4FF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1080" w:bottom="1152" w:left="1080" w:header="432" w:footer="432" w:gutter="360"/>
      <w:paperSrc w:first="1" w:other="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4D" w:rsidRDefault="00181C4D">
      <w:r>
        <w:separator/>
      </w:r>
    </w:p>
  </w:endnote>
  <w:endnote w:type="continuationSeparator" w:id="0">
    <w:p w:rsidR="00181C4D" w:rsidRDefault="0018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6518" w:rsidRDefault="004565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777">
      <w:rPr>
        <w:rStyle w:val="PageNumber"/>
        <w:noProof/>
      </w:rPr>
      <w:t>2</w:t>
    </w:r>
    <w:r>
      <w:rPr>
        <w:rStyle w:val="PageNumber"/>
      </w:rPr>
      <w:fldChar w:fldCharType="end"/>
    </w:r>
  </w:p>
  <w:p w:rsidR="00456518" w:rsidRDefault="00456518">
    <w:pPr>
      <w:pStyle w:val="Footer"/>
      <w:tabs>
        <w:tab w:val="clear" w:pos="7920"/>
        <w:tab w:val="center" w:pos="5400"/>
        <w:tab w:val="right" w:pos="9720"/>
        <w:tab w:val="right" w:pos="10440"/>
      </w:tabs>
    </w:pPr>
    <w:r>
      <w:fldChar w:fldCharType="begin"/>
    </w:r>
    <w:r>
      <w:instrText xml:space="preserve"> if "</w:instrText>
    </w:r>
    <w:r>
      <w:fldChar w:fldCharType="begin"/>
    </w:r>
    <w:r>
      <w:instrText xml:space="preserve"> REF DocVersion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"(v. </w:instrText>
    </w:r>
    <w:fldSimple w:instr=" REF DocVersion ">
      <w:r>
        <w:instrText xml:space="preserve">1 </w:instrText>
      </w:r>
    </w:fldSimple>
    <w:r>
      <w:instrText xml:space="preserve">)" </w:instrTex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Footer"/>
      <w:tabs>
        <w:tab w:val="clear" w:pos="7920"/>
        <w:tab w:val="center" w:pos="5400"/>
        <w:tab w:val="right" w:pos="10440"/>
      </w:tabs>
      <w:spacing w:before="120"/>
    </w:pPr>
    <w:r>
      <w:t xml:space="preserve">  </w:t>
    </w:r>
    <w:r>
      <w:fldChar w:fldCharType="begin"/>
    </w:r>
    <w:r>
      <w:instrText xml:space="preserve"> if "</w:instrText>
    </w:r>
    <w:r>
      <w:fldChar w:fldCharType="begin"/>
    </w:r>
    <w:r>
      <w:instrText xml:space="preserve"> REF DocVersion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"(v. </w:instrText>
    </w:r>
    <w:fldSimple w:instr=" REF DocVersion ">
      <w:r>
        <w:instrText xml:space="preserve"> 1 </w:instrText>
      </w:r>
    </w:fldSimple>
    <w:r>
      <w:instrText xml:space="preserve">)" </w:instrText>
    </w:r>
    <w:r>
      <w:fldChar w:fldCharType="end"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3777">
      <w:rPr>
        <w:rStyle w:val="PageNumber"/>
        <w:noProof/>
      </w:rPr>
      <w:t>1</w:t>
    </w:r>
    <w:r>
      <w:rPr>
        <w:rStyle w:val="PageNumber"/>
      </w:rPr>
      <w:fldChar w:fldCharType="end"/>
    </w:r>
    <w:r>
      <w:fldChar w:fldCharType="begin"/>
    </w:r>
    <w:r>
      <w:instrText>if "</w:instrText>
    </w:r>
    <w:r>
      <w:fldChar w:fldCharType="begin"/>
    </w:r>
    <w:r>
      <w:instrText>styleref "Heading 2"</w:instrText>
    </w:r>
    <w:r>
      <w:fldChar w:fldCharType="separate"/>
    </w:r>
    <w:r w:rsidR="00233777">
      <w:rPr>
        <w:b/>
        <w:bCs/>
        <w:noProof/>
      </w:rPr>
      <w:instrText>Error! No text of specified style in document.</w:instrText>
    </w:r>
    <w:r>
      <w:fldChar w:fldCharType="end"/>
    </w:r>
    <w:r>
      <w:instrText xml:space="preserve">" = "Error! No text of specified style in document."  "" </w:instrText>
    </w:r>
    <w:r>
      <w:fldChar w:fldCharType="begin"/>
    </w:r>
    <w:r>
      <w:instrText>styleref "Heading 2"</w:instrText>
    </w:r>
    <w:r>
      <w:fldChar w:fldCharType="separate"/>
    </w:r>
    <w:r w:rsidR="00C0508A">
      <w:rPr>
        <w:noProof/>
      </w:rPr>
      <w:instrText>Approved for Training Binder at last meeting</w:instrText>
    </w:r>
    <w:r>
      <w:fldChar w:fldCharType="end"/>
    </w:r>
    <w: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33777">
      <w:rPr>
        <w:rStyle w:val="PageNumber"/>
        <w:noProof/>
      </w:rPr>
      <w:t>4</w:t>
    </w:r>
    <w:r>
      <w:rPr>
        <w:rStyle w:val="PageNumber"/>
      </w:rPr>
      <w:fldChar w:fldCharType="end"/>
    </w:r>
  </w:p>
  <w:p w:rsidR="00456518" w:rsidRDefault="00456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4D" w:rsidRDefault="00181C4D">
      <w:r>
        <w:separator/>
      </w:r>
    </w:p>
  </w:footnote>
  <w:footnote w:type="continuationSeparator" w:id="0">
    <w:p w:rsidR="00181C4D" w:rsidRDefault="0018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Header"/>
    </w:pPr>
    <w:r>
      <w:tab/>
    </w:r>
    <w:r>
      <w:fldChar w:fldCharType="begin"/>
    </w:r>
    <w:r>
      <w:instrText xml:space="preserve"> if "</w:instrText>
    </w:r>
    <w:r>
      <w:fldChar w:fldCharType="begin"/>
    </w:r>
    <w:r>
      <w:instrText xml:space="preserve"> REF DocControlNumber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</w:instrText>
    </w:r>
    <w:fldSimple w:instr=" REF DocControlNumber ">
      <w:r>
        <w:rPr>
          <w:rStyle w:val="HighlightedVariable"/>
        </w:rPr>
        <w:instrText>&lt;Document Control Number&gt;</w:instrText>
      </w:r>
      <w:r>
        <w:instrText xml:space="preserve"> </w:instrText>
      </w:r>
    </w:fldSimple>
    <w:r>
      <w:instrText xml:space="preserve">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Header"/>
      <w:jc w:val="center"/>
    </w:pPr>
    <w:r>
      <w:t>Billing and Collection Agent Oversight Working Group (B&amp;C WG)</w:t>
    </w:r>
    <w:r>
      <w:fldChar w:fldCharType="begin"/>
    </w:r>
    <w:r>
      <w:instrText xml:space="preserve"> if "</w:instrText>
    </w:r>
    <w:r>
      <w:fldChar w:fldCharType="begin"/>
    </w:r>
    <w:r>
      <w:instrText xml:space="preserve"> REF DocControlNumber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</w:instrText>
    </w:r>
    <w:fldSimple w:instr=" REF DocControlNumber ">
      <w:r>
        <w:instrText xml:space="preserve"> </w:instrText>
      </w:r>
      <w:r>
        <w:rPr>
          <w:rStyle w:val="HighlightedVariable"/>
        </w:rPr>
        <w:instrText>&lt;Document Control Number&gt;</w:instrText>
      </w:r>
      <w:r>
        <w:instrText xml:space="preserve"> </w:instrText>
      </w:r>
    </w:fldSimple>
    <w:r>
      <w:instrText xml:space="preserve"> </w:instrText>
    </w:r>
    <w:r>
      <w:fldChar w:fldCharType="end"/>
    </w:r>
  </w:p>
  <w:p w:rsidR="00456518" w:rsidRDefault="004565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B0A"/>
    <w:multiLevelType w:val="hybridMultilevel"/>
    <w:tmpl w:val="0B2AA6A4"/>
    <w:lvl w:ilvl="0" w:tplc="60086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AD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8E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42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C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08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6F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B61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189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005226"/>
    <w:multiLevelType w:val="hybridMultilevel"/>
    <w:tmpl w:val="804C4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387099"/>
    <w:multiLevelType w:val="hybridMultilevel"/>
    <w:tmpl w:val="C1D2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6230E"/>
    <w:multiLevelType w:val="hybridMultilevel"/>
    <w:tmpl w:val="3494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A1F06"/>
    <w:multiLevelType w:val="hybridMultilevel"/>
    <w:tmpl w:val="CDBA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32373"/>
    <w:multiLevelType w:val="hybridMultilevel"/>
    <w:tmpl w:val="422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9525C"/>
    <w:multiLevelType w:val="hybridMultilevel"/>
    <w:tmpl w:val="9E00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73163"/>
    <w:multiLevelType w:val="hybridMultilevel"/>
    <w:tmpl w:val="DF34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12500"/>
    <w:multiLevelType w:val="hybridMultilevel"/>
    <w:tmpl w:val="E9142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674C9F"/>
    <w:multiLevelType w:val="hybridMultilevel"/>
    <w:tmpl w:val="5EF6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75FDA"/>
    <w:multiLevelType w:val="hybridMultilevel"/>
    <w:tmpl w:val="D418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C7F8E"/>
    <w:multiLevelType w:val="hybridMultilevel"/>
    <w:tmpl w:val="4B82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A0213"/>
    <w:multiLevelType w:val="hybridMultilevel"/>
    <w:tmpl w:val="7C88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04FD1"/>
    <w:multiLevelType w:val="hybridMultilevel"/>
    <w:tmpl w:val="EB688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1170F"/>
    <w:multiLevelType w:val="hybridMultilevel"/>
    <w:tmpl w:val="A3E4D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CA714F"/>
    <w:multiLevelType w:val="hybridMultilevel"/>
    <w:tmpl w:val="C234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C5331"/>
    <w:multiLevelType w:val="hybridMultilevel"/>
    <w:tmpl w:val="A7EA7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10"/>
  </w:num>
  <w:num w:numId="5">
    <w:abstractNumId w:val="16"/>
  </w:num>
  <w:num w:numId="6">
    <w:abstractNumId w:val="13"/>
  </w:num>
  <w:num w:numId="7">
    <w:abstractNumId w:val="0"/>
  </w:num>
  <w:num w:numId="8">
    <w:abstractNumId w:val="16"/>
  </w:num>
  <w:num w:numId="9">
    <w:abstractNumId w:val="13"/>
  </w:num>
  <w:num w:numId="10">
    <w:abstractNumId w:val="7"/>
  </w:num>
  <w:num w:numId="11">
    <w:abstractNumId w:val="16"/>
  </w:num>
  <w:num w:numId="12">
    <w:abstractNumId w:val="13"/>
  </w:num>
  <w:num w:numId="13">
    <w:abstractNumId w:val="14"/>
  </w:num>
  <w:num w:numId="14">
    <w:abstractNumId w:val="1"/>
  </w:num>
  <w:num w:numId="15">
    <w:abstractNumId w:val="16"/>
  </w:num>
  <w:num w:numId="16">
    <w:abstractNumId w:val="4"/>
  </w:num>
  <w:num w:numId="17">
    <w:abstractNumId w:val="2"/>
  </w:num>
  <w:num w:numId="18">
    <w:abstractNumId w:val="9"/>
  </w:num>
  <w:num w:numId="19">
    <w:abstractNumId w:val="16"/>
  </w:num>
  <w:num w:numId="20">
    <w:abstractNumId w:val="13"/>
  </w:num>
  <w:num w:numId="21">
    <w:abstractNumId w:val="11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12"/>
  </w:num>
  <w:num w:numId="26">
    <w:abstractNumId w:val="5"/>
  </w:num>
  <w:num w:numId="2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intFractionalCharacterWidth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IM_Version" w:val="2.0.6"/>
    <w:docVar w:name="DocumentName" w:val="Meeting Minutes"/>
    <w:docVar w:name="MenuFileStack" w:val="CDM97.mnu|PJM97.mnu|pjmCR97.mnu"/>
    <w:docVar w:name="MenuNameStack" w:val="Main Menu|Project Management (PJM)|Control and Reporting (CR)"/>
    <w:docVar w:name="tmp_MenuTitle" w:val="Control and Reporting (CR)||pjmCR97.mnu"/>
  </w:docVars>
  <w:rsids>
    <w:rsidRoot w:val="00CE2E7C"/>
    <w:rsid w:val="0000179C"/>
    <w:rsid w:val="00001D92"/>
    <w:rsid w:val="00001FBC"/>
    <w:rsid w:val="000032AA"/>
    <w:rsid w:val="000039A0"/>
    <w:rsid w:val="00005F36"/>
    <w:rsid w:val="00010C8D"/>
    <w:rsid w:val="00011818"/>
    <w:rsid w:val="0003339F"/>
    <w:rsid w:val="0003509A"/>
    <w:rsid w:val="0003793E"/>
    <w:rsid w:val="00044128"/>
    <w:rsid w:val="000466A2"/>
    <w:rsid w:val="00052714"/>
    <w:rsid w:val="00053DBD"/>
    <w:rsid w:val="000601AC"/>
    <w:rsid w:val="00062D96"/>
    <w:rsid w:val="00062F62"/>
    <w:rsid w:val="0006305C"/>
    <w:rsid w:val="0006552B"/>
    <w:rsid w:val="0006559E"/>
    <w:rsid w:val="00070B47"/>
    <w:rsid w:val="000771BD"/>
    <w:rsid w:val="00081866"/>
    <w:rsid w:val="00081EAD"/>
    <w:rsid w:val="0008216C"/>
    <w:rsid w:val="00083ED0"/>
    <w:rsid w:val="00087150"/>
    <w:rsid w:val="000906D3"/>
    <w:rsid w:val="00092596"/>
    <w:rsid w:val="00097363"/>
    <w:rsid w:val="000A1802"/>
    <w:rsid w:val="000A3E8E"/>
    <w:rsid w:val="000B16B4"/>
    <w:rsid w:val="000B5BC9"/>
    <w:rsid w:val="000B6031"/>
    <w:rsid w:val="000B649F"/>
    <w:rsid w:val="000C4164"/>
    <w:rsid w:val="000D0162"/>
    <w:rsid w:val="000D0244"/>
    <w:rsid w:val="000D1256"/>
    <w:rsid w:val="000D1FBE"/>
    <w:rsid w:val="000D291E"/>
    <w:rsid w:val="000E02A4"/>
    <w:rsid w:val="000E040A"/>
    <w:rsid w:val="000E05A3"/>
    <w:rsid w:val="000E26A6"/>
    <w:rsid w:val="000E3395"/>
    <w:rsid w:val="000F0D96"/>
    <w:rsid w:val="000F36C0"/>
    <w:rsid w:val="000F65C5"/>
    <w:rsid w:val="000F6656"/>
    <w:rsid w:val="0010025C"/>
    <w:rsid w:val="00103A16"/>
    <w:rsid w:val="00106E39"/>
    <w:rsid w:val="00110AE4"/>
    <w:rsid w:val="00112744"/>
    <w:rsid w:val="00114CA7"/>
    <w:rsid w:val="0011587C"/>
    <w:rsid w:val="00123BB6"/>
    <w:rsid w:val="00124DEC"/>
    <w:rsid w:val="00125D63"/>
    <w:rsid w:val="00133268"/>
    <w:rsid w:val="00133ACF"/>
    <w:rsid w:val="00133DB4"/>
    <w:rsid w:val="0014290E"/>
    <w:rsid w:val="00145FF4"/>
    <w:rsid w:val="0015027D"/>
    <w:rsid w:val="00151E19"/>
    <w:rsid w:val="00152873"/>
    <w:rsid w:val="00152AEF"/>
    <w:rsid w:val="00153DF7"/>
    <w:rsid w:val="001605AA"/>
    <w:rsid w:val="00165908"/>
    <w:rsid w:val="00167F60"/>
    <w:rsid w:val="001703F7"/>
    <w:rsid w:val="00181C4D"/>
    <w:rsid w:val="00182276"/>
    <w:rsid w:val="00184A98"/>
    <w:rsid w:val="00186443"/>
    <w:rsid w:val="00194AC6"/>
    <w:rsid w:val="00197420"/>
    <w:rsid w:val="001A0DF3"/>
    <w:rsid w:val="001A3D1D"/>
    <w:rsid w:val="001A513D"/>
    <w:rsid w:val="001A54D8"/>
    <w:rsid w:val="001B29C3"/>
    <w:rsid w:val="001B4EF9"/>
    <w:rsid w:val="001B77EC"/>
    <w:rsid w:val="001C32EA"/>
    <w:rsid w:val="001C36C6"/>
    <w:rsid w:val="001D33B9"/>
    <w:rsid w:val="001D48C2"/>
    <w:rsid w:val="001D7D13"/>
    <w:rsid w:val="001E116D"/>
    <w:rsid w:val="001E24B8"/>
    <w:rsid w:val="001E3B76"/>
    <w:rsid w:val="001E3D08"/>
    <w:rsid w:val="001E5EF5"/>
    <w:rsid w:val="001F152C"/>
    <w:rsid w:val="001F3311"/>
    <w:rsid w:val="001F3AA7"/>
    <w:rsid w:val="001F48DD"/>
    <w:rsid w:val="0020102E"/>
    <w:rsid w:val="00205FEF"/>
    <w:rsid w:val="00206D10"/>
    <w:rsid w:val="00211F97"/>
    <w:rsid w:val="00212D8C"/>
    <w:rsid w:val="00213289"/>
    <w:rsid w:val="00216693"/>
    <w:rsid w:val="002178C2"/>
    <w:rsid w:val="00221056"/>
    <w:rsid w:val="00221D4C"/>
    <w:rsid w:val="0022238B"/>
    <w:rsid w:val="002232D0"/>
    <w:rsid w:val="0022708F"/>
    <w:rsid w:val="00230F57"/>
    <w:rsid w:val="0023115D"/>
    <w:rsid w:val="002312F4"/>
    <w:rsid w:val="00233777"/>
    <w:rsid w:val="00235AD9"/>
    <w:rsid w:val="0023759C"/>
    <w:rsid w:val="00240757"/>
    <w:rsid w:val="00243E2D"/>
    <w:rsid w:val="002500EF"/>
    <w:rsid w:val="00250AF6"/>
    <w:rsid w:val="002522F7"/>
    <w:rsid w:val="00253DB4"/>
    <w:rsid w:val="002545DF"/>
    <w:rsid w:val="0026072B"/>
    <w:rsid w:val="00261107"/>
    <w:rsid w:val="00266979"/>
    <w:rsid w:val="00270B12"/>
    <w:rsid w:val="0027169F"/>
    <w:rsid w:val="00271DA5"/>
    <w:rsid w:val="00277E9C"/>
    <w:rsid w:val="0028159C"/>
    <w:rsid w:val="00281E4C"/>
    <w:rsid w:val="00282C92"/>
    <w:rsid w:val="0028316A"/>
    <w:rsid w:val="002845B2"/>
    <w:rsid w:val="0029226C"/>
    <w:rsid w:val="0029583D"/>
    <w:rsid w:val="00296480"/>
    <w:rsid w:val="00297484"/>
    <w:rsid w:val="002977AF"/>
    <w:rsid w:val="00297FC6"/>
    <w:rsid w:val="002A5D91"/>
    <w:rsid w:val="002A5D93"/>
    <w:rsid w:val="002B0046"/>
    <w:rsid w:val="002B4325"/>
    <w:rsid w:val="002B4463"/>
    <w:rsid w:val="002B632E"/>
    <w:rsid w:val="002B6515"/>
    <w:rsid w:val="002C295C"/>
    <w:rsid w:val="002C4357"/>
    <w:rsid w:val="002C653F"/>
    <w:rsid w:val="002C7BC2"/>
    <w:rsid w:val="002D0C9B"/>
    <w:rsid w:val="002D13A1"/>
    <w:rsid w:val="002D239F"/>
    <w:rsid w:val="002D3843"/>
    <w:rsid w:val="002D5866"/>
    <w:rsid w:val="002D58A1"/>
    <w:rsid w:val="002D659D"/>
    <w:rsid w:val="002E0435"/>
    <w:rsid w:val="002E712A"/>
    <w:rsid w:val="002F016E"/>
    <w:rsid w:val="002F1E22"/>
    <w:rsid w:val="002F49A8"/>
    <w:rsid w:val="002F5EED"/>
    <w:rsid w:val="0030460D"/>
    <w:rsid w:val="00304A22"/>
    <w:rsid w:val="00305B53"/>
    <w:rsid w:val="00307420"/>
    <w:rsid w:val="00310A93"/>
    <w:rsid w:val="00311669"/>
    <w:rsid w:val="00315BC3"/>
    <w:rsid w:val="0031673D"/>
    <w:rsid w:val="003259F8"/>
    <w:rsid w:val="00325D61"/>
    <w:rsid w:val="00326722"/>
    <w:rsid w:val="003275DA"/>
    <w:rsid w:val="0033548D"/>
    <w:rsid w:val="00341CA0"/>
    <w:rsid w:val="00342540"/>
    <w:rsid w:val="00342C41"/>
    <w:rsid w:val="00342E05"/>
    <w:rsid w:val="003439FF"/>
    <w:rsid w:val="00346213"/>
    <w:rsid w:val="003468DE"/>
    <w:rsid w:val="00347675"/>
    <w:rsid w:val="00347BD4"/>
    <w:rsid w:val="00353004"/>
    <w:rsid w:val="00354359"/>
    <w:rsid w:val="0035470A"/>
    <w:rsid w:val="003620DE"/>
    <w:rsid w:val="003621E2"/>
    <w:rsid w:val="0036288A"/>
    <w:rsid w:val="003646AC"/>
    <w:rsid w:val="0036510E"/>
    <w:rsid w:val="00365E8E"/>
    <w:rsid w:val="00366E73"/>
    <w:rsid w:val="00366E90"/>
    <w:rsid w:val="00371FDC"/>
    <w:rsid w:val="00374780"/>
    <w:rsid w:val="00383BB7"/>
    <w:rsid w:val="00384F9D"/>
    <w:rsid w:val="00391F4E"/>
    <w:rsid w:val="00392D80"/>
    <w:rsid w:val="00393568"/>
    <w:rsid w:val="00393E0B"/>
    <w:rsid w:val="003A2320"/>
    <w:rsid w:val="003A5861"/>
    <w:rsid w:val="003B13FB"/>
    <w:rsid w:val="003B2DA3"/>
    <w:rsid w:val="003B2DCC"/>
    <w:rsid w:val="003B31EC"/>
    <w:rsid w:val="003B5680"/>
    <w:rsid w:val="003B74EF"/>
    <w:rsid w:val="003C080D"/>
    <w:rsid w:val="003C1316"/>
    <w:rsid w:val="003C2C71"/>
    <w:rsid w:val="003C51E1"/>
    <w:rsid w:val="003C6C8A"/>
    <w:rsid w:val="003C7505"/>
    <w:rsid w:val="003D1420"/>
    <w:rsid w:val="003D2311"/>
    <w:rsid w:val="003D3CF9"/>
    <w:rsid w:val="003D4CDD"/>
    <w:rsid w:val="003D4EB6"/>
    <w:rsid w:val="003D72D7"/>
    <w:rsid w:val="003D7DC5"/>
    <w:rsid w:val="003E0367"/>
    <w:rsid w:val="003E04AF"/>
    <w:rsid w:val="003E15F7"/>
    <w:rsid w:val="003E1B3F"/>
    <w:rsid w:val="003E2046"/>
    <w:rsid w:val="003E20B6"/>
    <w:rsid w:val="003E2A57"/>
    <w:rsid w:val="003E53ED"/>
    <w:rsid w:val="003E5AC0"/>
    <w:rsid w:val="003F196D"/>
    <w:rsid w:val="00403C8C"/>
    <w:rsid w:val="0040530E"/>
    <w:rsid w:val="00406403"/>
    <w:rsid w:val="00406C75"/>
    <w:rsid w:val="00411C40"/>
    <w:rsid w:val="00414F23"/>
    <w:rsid w:val="00416060"/>
    <w:rsid w:val="00425F9A"/>
    <w:rsid w:val="004263A8"/>
    <w:rsid w:val="004277D0"/>
    <w:rsid w:val="00427E1E"/>
    <w:rsid w:val="004336F4"/>
    <w:rsid w:val="00433726"/>
    <w:rsid w:val="004367BA"/>
    <w:rsid w:val="004373A2"/>
    <w:rsid w:val="004375AA"/>
    <w:rsid w:val="0044077A"/>
    <w:rsid w:val="0044259A"/>
    <w:rsid w:val="00442660"/>
    <w:rsid w:val="004463BC"/>
    <w:rsid w:val="00452AD6"/>
    <w:rsid w:val="00456518"/>
    <w:rsid w:val="00456752"/>
    <w:rsid w:val="00462CCC"/>
    <w:rsid w:val="00463636"/>
    <w:rsid w:val="00464673"/>
    <w:rsid w:val="00466BA7"/>
    <w:rsid w:val="00467DE3"/>
    <w:rsid w:val="004761BF"/>
    <w:rsid w:val="004777E6"/>
    <w:rsid w:val="00480271"/>
    <w:rsid w:val="004819B1"/>
    <w:rsid w:val="004858DF"/>
    <w:rsid w:val="004861CB"/>
    <w:rsid w:val="0049288F"/>
    <w:rsid w:val="004929A7"/>
    <w:rsid w:val="004A115E"/>
    <w:rsid w:val="004A12E0"/>
    <w:rsid w:val="004A3CE8"/>
    <w:rsid w:val="004A5B2D"/>
    <w:rsid w:val="004B029A"/>
    <w:rsid w:val="004B06AF"/>
    <w:rsid w:val="004B14C9"/>
    <w:rsid w:val="004B4F13"/>
    <w:rsid w:val="004B57F5"/>
    <w:rsid w:val="004C0581"/>
    <w:rsid w:val="004C2A35"/>
    <w:rsid w:val="004C34C0"/>
    <w:rsid w:val="004C4D3A"/>
    <w:rsid w:val="004C56FD"/>
    <w:rsid w:val="004C5B39"/>
    <w:rsid w:val="004C70B4"/>
    <w:rsid w:val="004E0E9C"/>
    <w:rsid w:val="004E14A5"/>
    <w:rsid w:val="004E164A"/>
    <w:rsid w:val="004E1968"/>
    <w:rsid w:val="004E1F4C"/>
    <w:rsid w:val="004E26A0"/>
    <w:rsid w:val="004F3999"/>
    <w:rsid w:val="004F58B8"/>
    <w:rsid w:val="004F5F4C"/>
    <w:rsid w:val="004F637E"/>
    <w:rsid w:val="00506EF2"/>
    <w:rsid w:val="00507101"/>
    <w:rsid w:val="005074B2"/>
    <w:rsid w:val="0051086D"/>
    <w:rsid w:val="00510C3F"/>
    <w:rsid w:val="00511AE2"/>
    <w:rsid w:val="00512F70"/>
    <w:rsid w:val="00513BE8"/>
    <w:rsid w:val="00520DD7"/>
    <w:rsid w:val="00521646"/>
    <w:rsid w:val="005271B4"/>
    <w:rsid w:val="0053309D"/>
    <w:rsid w:val="00535476"/>
    <w:rsid w:val="00540D79"/>
    <w:rsid w:val="005427D0"/>
    <w:rsid w:val="00543011"/>
    <w:rsid w:val="00544243"/>
    <w:rsid w:val="005450F6"/>
    <w:rsid w:val="0054634A"/>
    <w:rsid w:val="005478FD"/>
    <w:rsid w:val="00553FD3"/>
    <w:rsid w:val="00556B1C"/>
    <w:rsid w:val="00556E42"/>
    <w:rsid w:val="00561530"/>
    <w:rsid w:val="00561BD0"/>
    <w:rsid w:val="00562952"/>
    <w:rsid w:val="0056362C"/>
    <w:rsid w:val="00565540"/>
    <w:rsid w:val="00567BC0"/>
    <w:rsid w:val="00573D18"/>
    <w:rsid w:val="00574E8B"/>
    <w:rsid w:val="0058099B"/>
    <w:rsid w:val="00581417"/>
    <w:rsid w:val="00582DF7"/>
    <w:rsid w:val="00587D28"/>
    <w:rsid w:val="005906AB"/>
    <w:rsid w:val="00590CE5"/>
    <w:rsid w:val="00593403"/>
    <w:rsid w:val="00597B93"/>
    <w:rsid w:val="005A4462"/>
    <w:rsid w:val="005B1B32"/>
    <w:rsid w:val="005B406B"/>
    <w:rsid w:val="005B571F"/>
    <w:rsid w:val="005B6F5A"/>
    <w:rsid w:val="005B7339"/>
    <w:rsid w:val="005C181B"/>
    <w:rsid w:val="005C35D1"/>
    <w:rsid w:val="005C4471"/>
    <w:rsid w:val="005C5017"/>
    <w:rsid w:val="005C6021"/>
    <w:rsid w:val="005D08DA"/>
    <w:rsid w:val="005D2650"/>
    <w:rsid w:val="005D5784"/>
    <w:rsid w:val="005D5DA6"/>
    <w:rsid w:val="005E74FF"/>
    <w:rsid w:val="005F27CB"/>
    <w:rsid w:val="005F3072"/>
    <w:rsid w:val="00601393"/>
    <w:rsid w:val="00602AC0"/>
    <w:rsid w:val="00605C9F"/>
    <w:rsid w:val="00606045"/>
    <w:rsid w:val="006100D6"/>
    <w:rsid w:val="006107FD"/>
    <w:rsid w:val="00611010"/>
    <w:rsid w:val="006117DA"/>
    <w:rsid w:val="006167D9"/>
    <w:rsid w:val="00620167"/>
    <w:rsid w:val="006231D2"/>
    <w:rsid w:val="00623C60"/>
    <w:rsid w:val="006244C8"/>
    <w:rsid w:val="006245B5"/>
    <w:rsid w:val="00627157"/>
    <w:rsid w:val="00627CCB"/>
    <w:rsid w:val="00630DF7"/>
    <w:rsid w:val="00634C2E"/>
    <w:rsid w:val="00640EE8"/>
    <w:rsid w:val="00643728"/>
    <w:rsid w:val="00644813"/>
    <w:rsid w:val="00646754"/>
    <w:rsid w:val="00653418"/>
    <w:rsid w:val="00653641"/>
    <w:rsid w:val="0065566C"/>
    <w:rsid w:val="006620A7"/>
    <w:rsid w:val="00663ADD"/>
    <w:rsid w:val="00665D28"/>
    <w:rsid w:val="0066659D"/>
    <w:rsid w:val="006671C1"/>
    <w:rsid w:val="0066785D"/>
    <w:rsid w:val="00667AD6"/>
    <w:rsid w:val="00667DBE"/>
    <w:rsid w:val="00670773"/>
    <w:rsid w:val="00672AAD"/>
    <w:rsid w:val="00673A68"/>
    <w:rsid w:val="0067530E"/>
    <w:rsid w:val="00676588"/>
    <w:rsid w:val="00677B02"/>
    <w:rsid w:val="00680DA1"/>
    <w:rsid w:val="006811B8"/>
    <w:rsid w:val="00681697"/>
    <w:rsid w:val="0068301E"/>
    <w:rsid w:val="00685469"/>
    <w:rsid w:val="00690AB0"/>
    <w:rsid w:val="00691996"/>
    <w:rsid w:val="00692FEB"/>
    <w:rsid w:val="00695B52"/>
    <w:rsid w:val="00696AA1"/>
    <w:rsid w:val="006A0911"/>
    <w:rsid w:val="006A1906"/>
    <w:rsid w:val="006A284C"/>
    <w:rsid w:val="006A34AC"/>
    <w:rsid w:val="006B46F5"/>
    <w:rsid w:val="006B70E3"/>
    <w:rsid w:val="006C036E"/>
    <w:rsid w:val="006C2AE3"/>
    <w:rsid w:val="006C3428"/>
    <w:rsid w:val="006C384F"/>
    <w:rsid w:val="006C42C0"/>
    <w:rsid w:val="006C46CC"/>
    <w:rsid w:val="006C4E93"/>
    <w:rsid w:val="006C5930"/>
    <w:rsid w:val="006C5B0A"/>
    <w:rsid w:val="006C759E"/>
    <w:rsid w:val="006D13A6"/>
    <w:rsid w:val="006D1F2A"/>
    <w:rsid w:val="006D3BC9"/>
    <w:rsid w:val="006D4949"/>
    <w:rsid w:val="006D4E3A"/>
    <w:rsid w:val="006D52DC"/>
    <w:rsid w:val="006D5FB3"/>
    <w:rsid w:val="006D7F11"/>
    <w:rsid w:val="006E118C"/>
    <w:rsid w:val="006E3378"/>
    <w:rsid w:val="006E446B"/>
    <w:rsid w:val="006E5C5A"/>
    <w:rsid w:val="006F1250"/>
    <w:rsid w:val="006F7C34"/>
    <w:rsid w:val="00700680"/>
    <w:rsid w:val="00702B18"/>
    <w:rsid w:val="00705488"/>
    <w:rsid w:val="00705D46"/>
    <w:rsid w:val="007067DE"/>
    <w:rsid w:val="00706FDD"/>
    <w:rsid w:val="0070706E"/>
    <w:rsid w:val="007151FC"/>
    <w:rsid w:val="00721056"/>
    <w:rsid w:val="00721E14"/>
    <w:rsid w:val="00722342"/>
    <w:rsid w:val="0072403F"/>
    <w:rsid w:val="00727D6A"/>
    <w:rsid w:val="00727ED8"/>
    <w:rsid w:val="00730608"/>
    <w:rsid w:val="0073123D"/>
    <w:rsid w:val="00731E3C"/>
    <w:rsid w:val="007364DB"/>
    <w:rsid w:val="00736CD4"/>
    <w:rsid w:val="007379B6"/>
    <w:rsid w:val="00743823"/>
    <w:rsid w:val="007466C7"/>
    <w:rsid w:val="00746F56"/>
    <w:rsid w:val="00747A8A"/>
    <w:rsid w:val="00751686"/>
    <w:rsid w:val="0075499F"/>
    <w:rsid w:val="00756FB1"/>
    <w:rsid w:val="00762F22"/>
    <w:rsid w:val="00765AE5"/>
    <w:rsid w:val="0076615C"/>
    <w:rsid w:val="00780714"/>
    <w:rsid w:val="00782167"/>
    <w:rsid w:val="007862CD"/>
    <w:rsid w:val="00786581"/>
    <w:rsid w:val="00786AC5"/>
    <w:rsid w:val="00787237"/>
    <w:rsid w:val="007875A6"/>
    <w:rsid w:val="00787DF8"/>
    <w:rsid w:val="00787EA5"/>
    <w:rsid w:val="00792B00"/>
    <w:rsid w:val="007930C8"/>
    <w:rsid w:val="007931A9"/>
    <w:rsid w:val="00793863"/>
    <w:rsid w:val="00794853"/>
    <w:rsid w:val="007954BA"/>
    <w:rsid w:val="007A0D8E"/>
    <w:rsid w:val="007A10BF"/>
    <w:rsid w:val="007A1748"/>
    <w:rsid w:val="007A5A42"/>
    <w:rsid w:val="007B025A"/>
    <w:rsid w:val="007B0572"/>
    <w:rsid w:val="007B05F2"/>
    <w:rsid w:val="007B6572"/>
    <w:rsid w:val="007C62EE"/>
    <w:rsid w:val="007C76DD"/>
    <w:rsid w:val="007C7CD4"/>
    <w:rsid w:val="007D4FCC"/>
    <w:rsid w:val="007D5806"/>
    <w:rsid w:val="007E04D7"/>
    <w:rsid w:val="007E04DA"/>
    <w:rsid w:val="007E3F90"/>
    <w:rsid w:val="007E57FD"/>
    <w:rsid w:val="007E738A"/>
    <w:rsid w:val="007F0291"/>
    <w:rsid w:val="007F0404"/>
    <w:rsid w:val="007F7613"/>
    <w:rsid w:val="008014CD"/>
    <w:rsid w:val="00801B60"/>
    <w:rsid w:val="00802CFF"/>
    <w:rsid w:val="008039F3"/>
    <w:rsid w:val="008100C3"/>
    <w:rsid w:val="00810DC0"/>
    <w:rsid w:val="00812CE7"/>
    <w:rsid w:val="00812DC5"/>
    <w:rsid w:val="00824A4B"/>
    <w:rsid w:val="00825952"/>
    <w:rsid w:val="00825B19"/>
    <w:rsid w:val="00826A60"/>
    <w:rsid w:val="00830916"/>
    <w:rsid w:val="0083174B"/>
    <w:rsid w:val="00834006"/>
    <w:rsid w:val="00836B3B"/>
    <w:rsid w:val="00836E45"/>
    <w:rsid w:val="00844F8D"/>
    <w:rsid w:val="008478A6"/>
    <w:rsid w:val="008478DC"/>
    <w:rsid w:val="0085114F"/>
    <w:rsid w:val="0085269D"/>
    <w:rsid w:val="008542C3"/>
    <w:rsid w:val="00860830"/>
    <w:rsid w:val="00860E95"/>
    <w:rsid w:val="00862F09"/>
    <w:rsid w:val="008645AC"/>
    <w:rsid w:val="00867480"/>
    <w:rsid w:val="0087041A"/>
    <w:rsid w:val="00874A60"/>
    <w:rsid w:val="008759B5"/>
    <w:rsid w:val="0088091E"/>
    <w:rsid w:val="00880DCD"/>
    <w:rsid w:val="00881FE5"/>
    <w:rsid w:val="0088383C"/>
    <w:rsid w:val="00890414"/>
    <w:rsid w:val="00896B4B"/>
    <w:rsid w:val="008A052B"/>
    <w:rsid w:val="008A5AF1"/>
    <w:rsid w:val="008A6699"/>
    <w:rsid w:val="008B14A8"/>
    <w:rsid w:val="008B4A4D"/>
    <w:rsid w:val="008B7E6F"/>
    <w:rsid w:val="008C12D9"/>
    <w:rsid w:val="008C18D9"/>
    <w:rsid w:val="008C38BD"/>
    <w:rsid w:val="008C6644"/>
    <w:rsid w:val="008C6A93"/>
    <w:rsid w:val="008D0385"/>
    <w:rsid w:val="008D119F"/>
    <w:rsid w:val="008D2BD5"/>
    <w:rsid w:val="008D2F9C"/>
    <w:rsid w:val="008D4211"/>
    <w:rsid w:val="008D443F"/>
    <w:rsid w:val="008E3AF3"/>
    <w:rsid w:val="008E567F"/>
    <w:rsid w:val="008F1ED4"/>
    <w:rsid w:val="008F383B"/>
    <w:rsid w:val="008F6322"/>
    <w:rsid w:val="008F734B"/>
    <w:rsid w:val="00900D0B"/>
    <w:rsid w:val="00903995"/>
    <w:rsid w:val="009045CB"/>
    <w:rsid w:val="009045EC"/>
    <w:rsid w:val="00905ED3"/>
    <w:rsid w:val="009064EA"/>
    <w:rsid w:val="00906F53"/>
    <w:rsid w:val="009105E0"/>
    <w:rsid w:val="00911BC8"/>
    <w:rsid w:val="00917967"/>
    <w:rsid w:val="00923A9A"/>
    <w:rsid w:val="00924036"/>
    <w:rsid w:val="00924F61"/>
    <w:rsid w:val="00925741"/>
    <w:rsid w:val="00926DCC"/>
    <w:rsid w:val="0093070D"/>
    <w:rsid w:val="0093710E"/>
    <w:rsid w:val="00943C27"/>
    <w:rsid w:val="00946D3C"/>
    <w:rsid w:val="00951AAA"/>
    <w:rsid w:val="009551C9"/>
    <w:rsid w:val="009554BB"/>
    <w:rsid w:val="00955FB8"/>
    <w:rsid w:val="009608B2"/>
    <w:rsid w:val="009624C7"/>
    <w:rsid w:val="00963584"/>
    <w:rsid w:val="0096486E"/>
    <w:rsid w:val="00964C89"/>
    <w:rsid w:val="00965C2F"/>
    <w:rsid w:val="00966DFA"/>
    <w:rsid w:val="0096711C"/>
    <w:rsid w:val="00970991"/>
    <w:rsid w:val="00970F2A"/>
    <w:rsid w:val="0097485C"/>
    <w:rsid w:val="009756C3"/>
    <w:rsid w:val="009757AA"/>
    <w:rsid w:val="009766AD"/>
    <w:rsid w:val="0098374F"/>
    <w:rsid w:val="00984ACF"/>
    <w:rsid w:val="00986E2F"/>
    <w:rsid w:val="00990821"/>
    <w:rsid w:val="009911F1"/>
    <w:rsid w:val="00991B37"/>
    <w:rsid w:val="0099209E"/>
    <w:rsid w:val="009932E1"/>
    <w:rsid w:val="00995FAB"/>
    <w:rsid w:val="009A01C2"/>
    <w:rsid w:val="009A1B9C"/>
    <w:rsid w:val="009A2BC0"/>
    <w:rsid w:val="009A3854"/>
    <w:rsid w:val="009A48B2"/>
    <w:rsid w:val="009A7EED"/>
    <w:rsid w:val="009C011F"/>
    <w:rsid w:val="009C0330"/>
    <w:rsid w:val="009C5202"/>
    <w:rsid w:val="009D1E6A"/>
    <w:rsid w:val="009D38EE"/>
    <w:rsid w:val="009D67BF"/>
    <w:rsid w:val="009E1BE1"/>
    <w:rsid w:val="009F066B"/>
    <w:rsid w:val="009F1AF5"/>
    <w:rsid w:val="009F45F2"/>
    <w:rsid w:val="009F6CCB"/>
    <w:rsid w:val="009F7515"/>
    <w:rsid w:val="00A013FB"/>
    <w:rsid w:val="00A02A09"/>
    <w:rsid w:val="00A03A69"/>
    <w:rsid w:val="00A0534A"/>
    <w:rsid w:val="00A05B16"/>
    <w:rsid w:val="00A11D4A"/>
    <w:rsid w:val="00A158B2"/>
    <w:rsid w:val="00A1660E"/>
    <w:rsid w:val="00A20379"/>
    <w:rsid w:val="00A21A74"/>
    <w:rsid w:val="00A21D65"/>
    <w:rsid w:val="00A230B9"/>
    <w:rsid w:val="00A24DA0"/>
    <w:rsid w:val="00A25863"/>
    <w:rsid w:val="00A2696D"/>
    <w:rsid w:val="00A34A52"/>
    <w:rsid w:val="00A34AEE"/>
    <w:rsid w:val="00A35D8E"/>
    <w:rsid w:val="00A373C6"/>
    <w:rsid w:val="00A40FB9"/>
    <w:rsid w:val="00A43EF5"/>
    <w:rsid w:val="00A4456D"/>
    <w:rsid w:val="00A445B9"/>
    <w:rsid w:val="00A45882"/>
    <w:rsid w:val="00A45C06"/>
    <w:rsid w:val="00A469A3"/>
    <w:rsid w:val="00A46F37"/>
    <w:rsid w:val="00A47951"/>
    <w:rsid w:val="00A51911"/>
    <w:rsid w:val="00A528AD"/>
    <w:rsid w:val="00A546D9"/>
    <w:rsid w:val="00A5481E"/>
    <w:rsid w:val="00A54A54"/>
    <w:rsid w:val="00A60350"/>
    <w:rsid w:val="00A67D03"/>
    <w:rsid w:val="00A704FD"/>
    <w:rsid w:val="00A705E0"/>
    <w:rsid w:val="00A72485"/>
    <w:rsid w:val="00A73CAE"/>
    <w:rsid w:val="00A7400B"/>
    <w:rsid w:val="00A75ED7"/>
    <w:rsid w:val="00A76BF4"/>
    <w:rsid w:val="00A8009D"/>
    <w:rsid w:val="00A8326C"/>
    <w:rsid w:val="00A856E5"/>
    <w:rsid w:val="00A86868"/>
    <w:rsid w:val="00A86DC3"/>
    <w:rsid w:val="00A90165"/>
    <w:rsid w:val="00A902F0"/>
    <w:rsid w:val="00A90CF1"/>
    <w:rsid w:val="00A90EE4"/>
    <w:rsid w:val="00A9575D"/>
    <w:rsid w:val="00AA102D"/>
    <w:rsid w:val="00AA282F"/>
    <w:rsid w:val="00AB00F9"/>
    <w:rsid w:val="00AB0D7D"/>
    <w:rsid w:val="00AB4FC7"/>
    <w:rsid w:val="00AB4FF0"/>
    <w:rsid w:val="00AB6F08"/>
    <w:rsid w:val="00AC2B3F"/>
    <w:rsid w:val="00AC399A"/>
    <w:rsid w:val="00AC42D7"/>
    <w:rsid w:val="00AC57BE"/>
    <w:rsid w:val="00AC7A81"/>
    <w:rsid w:val="00AC7E92"/>
    <w:rsid w:val="00AD078B"/>
    <w:rsid w:val="00AD07C7"/>
    <w:rsid w:val="00AD2DCE"/>
    <w:rsid w:val="00AD7037"/>
    <w:rsid w:val="00AD7596"/>
    <w:rsid w:val="00AE056E"/>
    <w:rsid w:val="00AE135B"/>
    <w:rsid w:val="00AE19B2"/>
    <w:rsid w:val="00AE2946"/>
    <w:rsid w:val="00AF270F"/>
    <w:rsid w:val="00AF4EB5"/>
    <w:rsid w:val="00AF59D9"/>
    <w:rsid w:val="00B03572"/>
    <w:rsid w:val="00B06530"/>
    <w:rsid w:val="00B10F18"/>
    <w:rsid w:val="00B10F65"/>
    <w:rsid w:val="00B123AF"/>
    <w:rsid w:val="00B15C8E"/>
    <w:rsid w:val="00B15EBB"/>
    <w:rsid w:val="00B15F8E"/>
    <w:rsid w:val="00B172C2"/>
    <w:rsid w:val="00B17638"/>
    <w:rsid w:val="00B177B8"/>
    <w:rsid w:val="00B235E1"/>
    <w:rsid w:val="00B23FCB"/>
    <w:rsid w:val="00B24B1B"/>
    <w:rsid w:val="00B32007"/>
    <w:rsid w:val="00B331F0"/>
    <w:rsid w:val="00B3515C"/>
    <w:rsid w:val="00B35D5E"/>
    <w:rsid w:val="00B35F8A"/>
    <w:rsid w:val="00B36036"/>
    <w:rsid w:val="00B36CFE"/>
    <w:rsid w:val="00B42345"/>
    <w:rsid w:val="00B43D36"/>
    <w:rsid w:val="00B445CC"/>
    <w:rsid w:val="00B459FC"/>
    <w:rsid w:val="00B45A5A"/>
    <w:rsid w:val="00B4647A"/>
    <w:rsid w:val="00B4770A"/>
    <w:rsid w:val="00B50702"/>
    <w:rsid w:val="00B5155B"/>
    <w:rsid w:val="00B51C19"/>
    <w:rsid w:val="00B52EFB"/>
    <w:rsid w:val="00B56B5D"/>
    <w:rsid w:val="00B60D09"/>
    <w:rsid w:val="00B61ACD"/>
    <w:rsid w:val="00B6341B"/>
    <w:rsid w:val="00B638CD"/>
    <w:rsid w:val="00B65CC3"/>
    <w:rsid w:val="00B6681D"/>
    <w:rsid w:val="00B71158"/>
    <w:rsid w:val="00B73B20"/>
    <w:rsid w:val="00B73BA3"/>
    <w:rsid w:val="00B77FE9"/>
    <w:rsid w:val="00B81161"/>
    <w:rsid w:val="00B82395"/>
    <w:rsid w:val="00B82B99"/>
    <w:rsid w:val="00B82E88"/>
    <w:rsid w:val="00B847D7"/>
    <w:rsid w:val="00B9279D"/>
    <w:rsid w:val="00B93E31"/>
    <w:rsid w:val="00B94F21"/>
    <w:rsid w:val="00B95D73"/>
    <w:rsid w:val="00B961B1"/>
    <w:rsid w:val="00B96B76"/>
    <w:rsid w:val="00BA0744"/>
    <w:rsid w:val="00BA230E"/>
    <w:rsid w:val="00BB1D5C"/>
    <w:rsid w:val="00BD1F4A"/>
    <w:rsid w:val="00BD1F4B"/>
    <w:rsid w:val="00BD4139"/>
    <w:rsid w:val="00BD5E2F"/>
    <w:rsid w:val="00BD62CC"/>
    <w:rsid w:val="00BE029F"/>
    <w:rsid w:val="00BE17AD"/>
    <w:rsid w:val="00BE283A"/>
    <w:rsid w:val="00BE4243"/>
    <w:rsid w:val="00BE4DAF"/>
    <w:rsid w:val="00BF10CF"/>
    <w:rsid w:val="00BF1617"/>
    <w:rsid w:val="00BF18F3"/>
    <w:rsid w:val="00BF25DD"/>
    <w:rsid w:val="00BF2EB5"/>
    <w:rsid w:val="00BF47A3"/>
    <w:rsid w:val="00BF52E7"/>
    <w:rsid w:val="00BF57B3"/>
    <w:rsid w:val="00BF6772"/>
    <w:rsid w:val="00C01756"/>
    <w:rsid w:val="00C028AA"/>
    <w:rsid w:val="00C02FF5"/>
    <w:rsid w:val="00C04A64"/>
    <w:rsid w:val="00C0508A"/>
    <w:rsid w:val="00C116A9"/>
    <w:rsid w:val="00C23C9E"/>
    <w:rsid w:val="00C24049"/>
    <w:rsid w:val="00C258B3"/>
    <w:rsid w:val="00C27D4D"/>
    <w:rsid w:val="00C3193D"/>
    <w:rsid w:val="00C322A5"/>
    <w:rsid w:val="00C327A4"/>
    <w:rsid w:val="00C34465"/>
    <w:rsid w:val="00C4064B"/>
    <w:rsid w:val="00C42D94"/>
    <w:rsid w:val="00C43F03"/>
    <w:rsid w:val="00C45135"/>
    <w:rsid w:val="00C4798E"/>
    <w:rsid w:val="00C50C98"/>
    <w:rsid w:val="00C512DB"/>
    <w:rsid w:val="00C51A36"/>
    <w:rsid w:val="00C56898"/>
    <w:rsid w:val="00C57898"/>
    <w:rsid w:val="00C57ADA"/>
    <w:rsid w:val="00C57FDD"/>
    <w:rsid w:val="00C605FA"/>
    <w:rsid w:val="00C61C2C"/>
    <w:rsid w:val="00C61E1C"/>
    <w:rsid w:val="00C63946"/>
    <w:rsid w:val="00C6563F"/>
    <w:rsid w:val="00C67472"/>
    <w:rsid w:val="00C84003"/>
    <w:rsid w:val="00C84302"/>
    <w:rsid w:val="00C8588D"/>
    <w:rsid w:val="00C87202"/>
    <w:rsid w:val="00C907F4"/>
    <w:rsid w:val="00C9301C"/>
    <w:rsid w:val="00C95110"/>
    <w:rsid w:val="00C97260"/>
    <w:rsid w:val="00CA1843"/>
    <w:rsid w:val="00CA20F3"/>
    <w:rsid w:val="00CA2B5A"/>
    <w:rsid w:val="00CA2BB6"/>
    <w:rsid w:val="00CB45BB"/>
    <w:rsid w:val="00CB4BB9"/>
    <w:rsid w:val="00CB5A73"/>
    <w:rsid w:val="00CB6C1E"/>
    <w:rsid w:val="00CC30E9"/>
    <w:rsid w:val="00CC45F2"/>
    <w:rsid w:val="00CC5009"/>
    <w:rsid w:val="00CC65D4"/>
    <w:rsid w:val="00CC7848"/>
    <w:rsid w:val="00CD1A02"/>
    <w:rsid w:val="00CD72A2"/>
    <w:rsid w:val="00CE2E7C"/>
    <w:rsid w:val="00CE4FCE"/>
    <w:rsid w:val="00CE529C"/>
    <w:rsid w:val="00CF2285"/>
    <w:rsid w:val="00CF26C6"/>
    <w:rsid w:val="00CF314D"/>
    <w:rsid w:val="00CF3DE8"/>
    <w:rsid w:val="00CF5015"/>
    <w:rsid w:val="00CF6DBF"/>
    <w:rsid w:val="00D00963"/>
    <w:rsid w:val="00D0117A"/>
    <w:rsid w:val="00D014A5"/>
    <w:rsid w:val="00D0269F"/>
    <w:rsid w:val="00D02ACB"/>
    <w:rsid w:val="00D06768"/>
    <w:rsid w:val="00D13537"/>
    <w:rsid w:val="00D14CC4"/>
    <w:rsid w:val="00D14EC2"/>
    <w:rsid w:val="00D17EDE"/>
    <w:rsid w:val="00D2068E"/>
    <w:rsid w:val="00D20965"/>
    <w:rsid w:val="00D24A33"/>
    <w:rsid w:val="00D252D1"/>
    <w:rsid w:val="00D27421"/>
    <w:rsid w:val="00D27FD5"/>
    <w:rsid w:val="00D3108A"/>
    <w:rsid w:val="00D343E9"/>
    <w:rsid w:val="00D41C0E"/>
    <w:rsid w:val="00D440B0"/>
    <w:rsid w:val="00D45A1E"/>
    <w:rsid w:val="00D515D3"/>
    <w:rsid w:val="00D516BC"/>
    <w:rsid w:val="00D51D5A"/>
    <w:rsid w:val="00D529AC"/>
    <w:rsid w:val="00D52A35"/>
    <w:rsid w:val="00D53425"/>
    <w:rsid w:val="00D540BE"/>
    <w:rsid w:val="00D57BF6"/>
    <w:rsid w:val="00D612F7"/>
    <w:rsid w:val="00D63EF6"/>
    <w:rsid w:val="00D75E24"/>
    <w:rsid w:val="00D75E92"/>
    <w:rsid w:val="00D7677D"/>
    <w:rsid w:val="00D80720"/>
    <w:rsid w:val="00D8145B"/>
    <w:rsid w:val="00D844AA"/>
    <w:rsid w:val="00D8489F"/>
    <w:rsid w:val="00D854C5"/>
    <w:rsid w:val="00D93A49"/>
    <w:rsid w:val="00D9449D"/>
    <w:rsid w:val="00D9655A"/>
    <w:rsid w:val="00D96F09"/>
    <w:rsid w:val="00DA154B"/>
    <w:rsid w:val="00DA315B"/>
    <w:rsid w:val="00DA3AC1"/>
    <w:rsid w:val="00DA6176"/>
    <w:rsid w:val="00DB2F70"/>
    <w:rsid w:val="00DB31BB"/>
    <w:rsid w:val="00DB329F"/>
    <w:rsid w:val="00DB3BC6"/>
    <w:rsid w:val="00DC0BFB"/>
    <w:rsid w:val="00DC27F7"/>
    <w:rsid w:val="00DC3218"/>
    <w:rsid w:val="00DC4B13"/>
    <w:rsid w:val="00DC590C"/>
    <w:rsid w:val="00DD1C4D"/>
    <w:rsid w:val="00DD1E4D"/>
    <w:rsid w:val="00DD6B12"/>
    <w:rsid w:val="00DE1813"/>
    <w:rsid w:val="00DE24CF"/>
    <w:rsid w:val="00DE3559"/>
    <w:rsid w:val="00DE6BBB"/>
    <w:rsid w:val="00DF0389"/>
    <w:rsid w:val="00DF1231"/>
    <w:rsid w:val="00E0140B"/>
    <w:rsid w:val="00E01B28"/>
    <w:rsid w:val="00E11A89"/>
    <w:rsid w:val="00E131DD"/>
    <w:rsid w:val="00E14365"/>
    <w:rsid w:val="00E1637E"/>
    <w:rsid w:val="00E16CA9"/>
    <w:rsid w:val="00E200B3"/>
    <w:rsid w:val="00E2047F"/>
    <w:rsid w:val="00E20AED"/>
    <w:rsid w:val="00E24382"/>
    <w:rsid w:val="00E24FCE"/>
    <w:rsid w:val="00E2716C"/>
    <w:rsid w:val="00E30530"/>
    <w:rsid w:val="00E36B45"/>
    <w:rsid w:val="00E36D01"/>
    <w:rsid w:val="00E37008"/>
    <w:rsid w:val="00E37022"/>
    <w:rsid w:val="00E40085"/>
    <w:rsid w:val="00E41369"/>
    <w:rsid w:val="00E466CA"/>
    <w:rsid w:val="00E477FD"/>
    <w:rsid w:val="00E52423"/>
    <w:rsid w:val="00E52DA1"/>
    <w:rsid w:val="00E5600A"/>
    <w:rsid w:val="00E56BBE"/>
    <w:rsid w:val="00E6164D"/>
    <w:rsid w:val="00E61D03"/>
    <w:rsid w:val="00E63227"/>
    <w:rsid w:val="00E647BA"/>
    <w:rsid w:val="00E66DC5"/>
    <w:rsid w:val="00E67124"/>
    <w:rsid w:val="00E7082D"/>
    <w:rsid w:val="00E722CF"/>
    <w:rsid w:val="00E76847"/>
    <w:rsid w:val="00E83DC2"/>
    <w:rsid w:val="00E83F6E"/>
    <w:rsid w:val="00E90633"/>
    <w:rsid w:val="00E91BCB"/>
    <w:rsid w:val="00E921D5"/>
    <w:rsid w:val="00EA3243"/>
    <w:rsid w:val="00EA350D"/>
    <w:rsid w:val="00EA4664"/>
    <w:rsid w:val="00EA7F7D"/>
    <w:rsid w:val="00EB2F08"/>
    <w:rsid w:val="00EB532C"/>
    <w:rsid w:val="00EC1726"/>
    <w:rsid w:val="00EC5234"/>
    <w:rsid w:val="00EC5E47"/>
    <w:rsid w:val="00ED097A"/>
    <w:rsid w:val="00ED1B6B"/>
    <w:rsid w:val="00ED2A0E"/>
    <w:rsid w:val="00ED54C8"/>
    <w:rsid w:val="00ED6A06"/>
    <w:rsid w:val="00ED6A55"/>
    <w:rsid w:val="00EE1943"/>
    <w:rsid w:val="00EE1F82"/>
    <w:rsid w:val="00EE2492"/>
    <w:rsid w:val="00EE25B6"/>
    <w:rsid w:val="00EE3B5D"/>
    <w:rsid w:val="00EE6C0C"/>
    <w:rsid w:val="00EE74CA"/>
    <w:rsid w:val="00EF0EA4"/>
    <w:rsid w:val="00EF1020"/>
    <w:rsid w:val="00EF1669"/>
    <w:rsid w:val="00EF1A07"/>
    <w:rsid w:val="00EF2967"/>
    <w:rsid w:val="00EF3139"/>
    <w:rsid w:val="00F02456"/>
    <w:rsid w:val="00F066A4"/>
    <w:rsid w:val="00F07796"/>
    <w:rsid w:val="00F101EE"/>
    <w:rsid w:val="00F122B4"/>
    <w:rsid w:val="00F14202"/>
    <w:rsid w:val="00F144A6"/>
    <w:rsid w:val="00F21A02"/>
    <w:rsid w:val="00F23F14"/>
    <w:rsid w:val="00F2464F"/>
    <w:rsid w:val="00F274B7"/>
    <w:rsid w:val="00F27D2C"/>
    <w:rsid w:val="00F31211"/>
    <w:rsid w:val="00F31D3B"/>
    <w:rsid w:val="00F3450C"/>
    <w:rsid w:val="00F3472B"/>
    <w:rsid w:val="00F4128F"/>
    <w:rsid w:val="00F41993"/>
    <w:rsid w:val="00F42362"/>
    <w:rsid w:val="00F42589"/>
    <w:rsid w:val="00F43388"/>
    <w:rsid w:val="00F437E1"/>
    <w:rsid w:val="00F45D31"/>
    <w:rsid w:val="00F468B4"/>
    <w:rsid w:val="00F506A9"/>
    <w:rsid w:val="00F526D0"/>
    <w:rsid w:val="00F54000"/>
    <w:rsid w:val="00F60234"/>
    <w:rsid w:val="00F60AD8"/>
    <w:rsid w:val="00F62C1E"/>
    <w:rsid w:val="00F64006"/>
    <w:rsid w:val="00F646EC"/>
    <w:rsid w:val="00F64FAA"/>
    <w:rsid w:val="00F66A41"/>
    <w:rsid w:val="00F671D1"/>
    <w:rsid w:val="00F776DD"/>
    <w:rsid w:val="00F802B8"/>
    <w:rsid w:val="00F815E7"/>
    <w:rsid w:val="00F82E48"/>
    <w:rsid w:val="00F8437C"/>
    <w:rsid w:val="00F86F90"/>
    <w:rsid w:val="00F920E3"/>
    <w:rsid w:val="00F93261"/>
    <w:rsid w:val="00F95BD2"/>
    <w:rsid w:val="00FA62EF"/>
    <w:rsid w:val="00FB27C7"/>
    <w:rsid w:val="00FB72E1"/>
    <w:rsid w:val="00FC3038"/>
    <w:rsid w:val="00FC6EE8"/>
    <w:rsid w:val="00FD114B"/>
    <w:rsid w:val="00FD23D2"/>
    <w:rsid w:val="00FD271F"/>
    <w:rsid w:val="00FD3A28"/>
    <w:rsid w:val="00FD585F"/>
    <w:rsid w:val="00FD5BDB"/>
    <w:rsid w:val="00FD62F1"/>
    <w:rsid w:val="00FD7351"/>
    <w:rsid w:val="00FE1697"/>
    <w:rsid w:val="00FF145F"/>
    <w:rsid w:val="00FF319D"/>
    <w:rsid w:val="00FF5D3B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</w:rPr>
  </w:style>
  <w:style w:type="paragraph" w:styleId="Heading1">
    <w:name w:val="heading 1"/>
    <w:basedOn w:val="Normal"/>
    <w:next w:val="BodyText"/>
    <w:qFormat/>
    <w:pPr>
      <w:keepNext/>
      <w:keepLines/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Heading2">
    <w:name w:val="heading 2"/>
    <w:basedOn w:val="BodyText"/>
    <w:next w:val="BodyText"/>
    <w:qFormat/>
    <w:pPr>
      <w:keepNext/>
      <w:keepLines/>
      <w:pageBreakBefore/>
      <w:pBdr>
        <w:top w:val="single" w:sz="48" w:space="4" w:color="auto"/>
      </w:pBdr>
      <w:ind w:left="0"/>
      <w:outlineLvl w:val="1"/>
    </w:pPr>
    <w:rPr>
      <w:b/>
      <w:sz w:val="28"/>
    </w:rPr>
  </w:style>
  <w:style w:type="paragraph" w:styleId="Heading3">
    <w:name w:val="heading 3"/>
    <w:basedOn w:val="BodyText"/>
    <w:next w:val="BodyText"/>
    <w:qFormat/>
    <w:pPr>
      <w:keepNext/>
      <w:keepLines/>
      <w:ind w:left="0"/>
      <w:outlineLvl w:val="2"/>
    </w:pPr>
    <w:rPr>
      <w:b/>
      <w:sz w:val="24"/>
    </w:rPr>
  </w:style>
  <w:style w:type="paragraph" w:styleId="Heading4">
    <w:name w:val="heading 4"/>
    <w:basedOn w:val="BodyText"/>
    <w:next w:val="BodyText"/>
    <w:qFormat/>
    <w:pPr>
      <w:keepNext/>
      <w:keepLines/>
      <w:pBdr>
        <w:bottom w:val="single" w:sz="6" w:space="1" w:color="auto"/>
      </w:pBdr>
      <w:tabs>
        <w:tab w:val="center" w:pos="6480"/>
        <w:tab w:val="right" w:pos="10440"/>
      </w:tabs>
      <w:spacing w:before="240" w:after="0"/>
      <w:outlineLvl w:val="3"/>
    </w:pPr>
    <w:rPr>
      <w:b/>
    </w:rPr>
  </w:style>
  <w:style w:type="paragraph" w:styleId="Heading5">
    <w:name w:val="heading 5"/>
    <w:basedOn w:val="BodyText"/>
    <w:next w:val="BodyText"/>
    <w:qFormat/>
    <w:pPr>
      <w:keepNext/>
      <w:keepLines/>
      <w:outlineLvl w:val="4"/>
    </w:pPr>
    <w:rPr>
      <w:b/>
      <w:i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" w:hAnsi="Times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" w:hAnsi="Times"/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" w:hAnsi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ind w:left="2520"/>
    </w:pPr>
  </w:style>
  <w:style w:type="paragraph" w:styleId="NormalIndent">
    <w:name w:val="Normal Indent"/>
    <w:basedOn w:val="Normal"/>
    <w:pPr>
      <w:tabs>
        <w:tab w:val="left" w:pos="2880"/>
      </w:tabs>
      <w:ind w:left="1152"/>
    </w:pPr>
  </w:style>
  <w:style w:type="paragraph" w:styleId="TOC5">
    <w:name w:val="toc 5"/>
    <w:basedOn w:val="Normal"/>
    <w:next w:val="Normal"/>
    <w:semiHidden/>
    <w:pPr>
      <w:tabs>
        <w:tab w:val="right" w:leader="dot" w:pos="10080"/>
      </w:tabs>
      <w:ind w:left="3600"/>
    </w:pPr>
    <w:rPr>
      <w:sz w:val="18"/>
    </w:rPr>
  </w:style>
  <w:style w:type="paragraph" w:customStyle="1" w:styleId="Checklist-X">
    <w:name w:val="Checklist-X"/>
    <w:basedOn w:val="Checklist"/>
  </w:style>
  <w:style w:type="paragraph" w:styleId="TOC3">
    <w:name w:val="toc 3"/>
    <w:basedOn w:val="Normal"/>
    <w:next w:val="Normal"/>
    <w:semiHidden/>
    <w:pPr>
      <w:tabs>
        <w:tab w:val="right" w:leader="dot" w:pos="10080"/>
      </w:tabs>
      <w:ind w:left="2880"/>
    </w:pPr>
  </w:style>
  <w:style w:type="paragraph" w:styleId="TOC2">
    <w:name w:val="toc 2"/>
    <w:basedOn w:val="Normal"/>
    <w:next w:val="Normal"/>
    <w:semiHidden/>
    <w:pPr>
      <w:tabs>
        <w:tab w:val="right" w:leader="dot" w:pos="10080"/>
      </w:tabs>
      <w:spacing w:before="120" w:after="120"/>
      <w:ind w:left="2520"/>
    </w:pPr>
  </w:style>
  <w:style w:type="paragraph" w:styleId="TOC1">
    <w:name w:val="toc 1"/>
    <w:basedOn w:val="Normal"/>
    <w:next w:val="Normal"/>
    <w:semiHidden/>
    <w:pPr>
      <w:keepNext/>
      <w:tabs>
        <w:tab w:val="left" w:pos="2520"/>
        <w:tab w:val="right" w:leader="dot" w:pos="10080"/>
      </w:tabs>
      <w:spacing w:before="240" w:after="120"/>
    </w:pPr>
    <w:rPr>
      <w:b/>
    </w:rPr>
  </w:style>
  <w:style w:type="paragraph" w:styleId="Footer">
    <w:name w:val="footer"/>
    <w:basedOn w:val="Normal"/>
    <w:pPr>
      <w:tabs>
        <w:tab w:val="right" w:pos="7920"/>
      </w:tabs>
    </w:pPr>
    <w:rPr>
      <w:sz w:val="16"/>
    </w:rPr>
  </w:style>
  <w:style w:type="paragraph" w:styleId="Header">
    <w:name w:val="header"/>
    <w:basedOn w:val="Normal"/>
    <w:pPr>
      <w:tabs>
        <w:tab w:val="right" w:pos="10440"/>
      </w:tabs>
    </w:pPr>
    <w:rPr>
      <w:sz w:val="16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spacing w:after="240"/>
      <w:ind w:hanging="720"/>
    </w:pPr>
  </w:style>
  <w:style w:type="paragraph" w:styleId="Title">
    <w:name w:val="Title"/>
    <w:qFormat/>
    <w:pPr>
      <w:keepLines/>
      <w:spacing w:after="120"/>
      <w:ind w:left="2520" w:right="720"/>
    </w:pPr>
    <w:rPr>
      <w:rFonts w:ascii="Book Antiqua" w:hAnsi="Book Antiqua"/>
      <w:sz w:val="48"/>
    </w:rPr>
  </w:style>
  <w:style w:type="paragraph" w:customStyle="1" w:styleId="Bullet">
    <w:name w:val="Bullet"/>
    <w:basedOn w:val="BodyText"/>
    <w:pPr>
      <w:keepLines/>
      <w:spacing w:before="60" w:after="60"/>
      <w:ind w:left="3096" w:hanging="216"/>
    </w:pPr>
  </w:style>
  <w:style w:type="paragraph" w:customStyle="1" w:styleId="tty132">
    <w:name w:val="tty132"/>
    <w:basedOn w:val="tty80"/>
    <w:rPr>
      <w:sz w:val="12"/>
    </w:rPr>
  </w:style>
  <w:style w:type="paragraph" w:customStyle="1" w:styleId="tty80">
    <w:name w:val="tty80"/>
    <w:basedOn w:val="Normal"/>
    <w:rPr>
      <w:rFonts w:ascii="Courier New" w:hAnsi="Courier New"/>
    </w:rPr>
  </w:style>
  <w:style w:type="paragraph" w:customStyle="1" w:styleId="hangingindent">
    <w:name w:val="hanging indent"/>
    <w:basedOn w:val="BodyText"/>
    <w:pPr>
      <w:keepLines/>
      <w:ind w:left="5400" w:hanging="2880"/>
    </w:pPr>
  </w:style>
  <w:style w:type="paragraph" w:customStyle="1" w:styleId="TableText">
    <w:name w:val="Table Text"/>
    <w:basedOn w:val="Normal"/>
    <w:pPr>
      <w:keepLines/>
    </w:pPr>
    <w:rPr>
      <w:sz w:val="16"/>
    </w:rPr>
  </w:style>
  <w:style w:type="paragraph" w:customStyle="1" w:styleId="NumberList">
    <w:name w:val="Number List"/>
    <w:basedOn w:val="BodyText"/>
    <w:pPr>
      <w:spacing w:before="60" w:after="60"/>
      <w:ind w:left="3240" w:hanging="360"/>
    </w:pPr>
  </w:style>
  <w:style w:type="paragraph" w:customStyle="1" w:styleId="HeadingBar">
    <w:name w:val="Heading Bar"/>
    <w:basedOn w:val="Normal"/>
    <w:next w:val="Heading3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paragraph" w:customStyle="1" w:styleId="InfoBox">
    <w:name w:val="Info Box"/>
    <w:basedOn w:val="BodyText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  <w:between w:val="single" w:sz="6" w:space="6" w:color="auto"/>
      </w:pBdr>
      <w:ind w:left="3600" w:right="1080"/>
      <w:jc w:val="center"/>
    </w:pPr>
    <w:rPr>
      <w:sz w:val="18"/>
    </w:rPr>
  </w:style>
  <w:style w:type="paragraph" w:customStyle="1" w:styleId="tty180">
    <w:name w:val="tty180"/>
    <w:basedOn w:val="tty80"/>
    <w:pPr>
      <w:ind w:right="-720"/>
    </w:pPr>
    <w:rPr>
      <w:sz w:val="8"/>
    </w:rPr>
  </w:style>
  <w:style w:type="paragraph" w:customStyle="1" w:styleId="TitleBar">
    <w:name w:val="Title Bar"/>
    <w:basedOn w:val="Normal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customStyle="1" w:styleId="tty80indent">
    <w:name w:val="tty80 indent"/>
    <w:basedOn w:val="tty80"/>
    <w:pPr>
      <w:ind w:left="2895"/>
    </w:pPr>
  </w:style>
  <w:style w:type="paragraph" w:customStyle="1" w:styleId="TOCHeading1">
    <w:name w:val="TOC Heading1"/>
    <w:basedOn w:val="Normal"/>
    <w:pPr>
      <w:keepNext/>
      <w:pageBreakBefore/>
      <w:pBdr>
        <w:top w:val="single" w:sz="48" w:space="26" w:color="auto"/>
      </w:pBdr>
      <w:spacing w:before="960" w:after="960"/>
      <w:ind w:left="2520"/>
    </w:pPr>
    <w:rPr>
      <w:sz w:val="36"/>
    </w:rPr>
  </w:style>
  <w:style w:type="character" w:customStyle="1" w:styleId="ChapterTitle">
    <w:name w:val="Chapter Title"/>
    <w:basedOn w:val="DefaultParagraphFont"/>
  </w:style>
  <w:style w:type="paragraph" w:customStyle="1" w:styleId="Legal">
    <w:name w:val="Legal"/>
    <w:basedOn w:val="Normal"/>
    <w:pPr>
      <w:spacing w:after="240"/>
      <w:ind w:left="2160"/>
    </w:pPr>
    <w:rPr>
      <w:rFonts w:ascii="Times" w:hAnsi="Times"/>
    </w:rPr>
  </w:style>
  <w:style w:type="character" w:customStyle="1" w:styleId="HighlightedVariable">
    <w:name w:val="Highlighted Variable"/>
    <w:rPr>
      <w:color w:val="0000FF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Heading">
    <w:name w:val="Table Heading"/>
    <w:basedOn w:val="TableText"/>
    <w:pPr>
      <w:spacing w:before="120" w:after="120"/>
    </w:pPr>
    <w:rPr>
      <w:b/>
    </w:rPr>
  </w:style>
  <w:style w:type="paragraph" w:customStyle="1" w:styleId="Checklist">
    <w:name w:val="Checklist"/>
    <w:basedOn w:val="Bullet"/>
    <w:pPr>
      <w:ind w:left="3427" w:hanging="54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 Narrow" w:hAnsi="Arial Narrow"/>
    </w:rPr>
  </w:style>
  <w:style w:type="paragraph" w:styleId="TOC4">
    <w:name w:val="toc 4"/>
    <w:basedOn w:val="Normal"/>
    <w:next w:val="Normal"/>
    <w:semiHidden/>
    <w:pPr>
      <w:tabs>
        <w:tab w:val="right" w:leader="dot" w:pos="10080"/>
      </w:tabs>
      <w:ind w:left="324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outeTitle">
    <w:name w:val="Route Title"/>
    <w:basedOn w:val="Normal"/>
    <w:pPr>
      <w:keepLines/>
      <w:spacing w:after="120"/>
      <w:ind w:left="2520" w:right="720"/>
    </w:pPr>
    <w:rPr>
      <w:sz w:val="36"/>
    </w:rPr>
  </w:style>
  <w:style w:type="paragraph" w:customStyle="1" w:styleId="Title-Major">
    <w:name w:val="Title-Major"/>
    <w:basedOn w:val="Title"/>
    <w:rPr>
      <w:smallCaps/>
    </w:rPr>
  </w:style>
  <w:style w:type="paragraph" w:customStyle="1" w:styleId="Note">
    <w:name w:val="Note"/>
    <w:basedOn w:val="BodyText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720" w:right="5040" w:hanging="720"/>
    </w:pPr>
    <w:rPr>
      <w:vanish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Pr>
      <w:rFonts w:ascii="Times New Roman" w:hAnsi="Times New Roman"/>
      <w:color w:val="08204F"/>
      <w:sz w:val="22"/>
      <w:szCs w:val="18"/>
    </w:rPr>
  </w:style>
  <w:style w:type="paragraph" w:styleId="List">
    <w:name w:val="List"/>
    <w:basedOn w:val="Normal"/>
    <w:pPr>
      <w:autoSpaceDE w:val="0"/>
      <w:autoSpaceDN w:val="0"/>
      <w:ind w:left="360" w:hanging="360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44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autoSpaceDE w:val="0"/>
      <w:autoSpaceDN w:val="0"/>
      <w:ind w:left="720"/>
    </w:pPr>
    <w:rPr>
      <w:rFonts w:ascii="Arial" w:hAnsi="Arial" w:cs="Arial"/>
      <w:sz w:val="22"/>
      <w:szCs w:val="22"/>
    </w:rPr>
  </w:style>
  <w:style w:type="character" w:styleId="Hyperlink">
    <w:name w:val="Hyperlink"/>
    <w:rsid w:val="00EF10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6AC"/>
    <w:pPr>
      <w:ind w:left="720"/>
    </w:pPr>
  </w:style>
  <w:style w:type="paragraph" w:styleId="BalloonText">
    <w:name w:val="Balloon Text"/>
    <w:basedOn w:val="Normal"/>
    <w:semiHidden/>
    <w:rsid w:val="003E0367"/>
    <w:rPr>
      <w:rFonts w:ascii="Tahoma" w:hAnsi="Tahoma"/>
      <w:sz w:val="16"/>
      <w:szCs w:val="16"/>
    </w:rPr>
  </w:style>
  <w:style w:type="character" w:customStyle="1" w:styleId="ro103129">
    <w:name w:val="ro103129"/>
    <w:semiHidden/>
    <w:rsid w:val="00A34AEE"/>
    <w:rPr>
      <w:rFonts w:ascii="Arial" w:hAnsi="Arial" w:cs="Arial"/>
      <w:color w:val="auto"/>
      <w:sz w:val="20"/>
      <w:szCs w:val="20"/>
    </w:rPr>
  </w:style>
  <w:style w:type="character" w:customStyle="1" w:styleId="EmailStyle171">
    <w:name w:val="EmailStyle171"/>
    <w:semiHidden/>
    <w:rsid w:val="00114CA7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</w:rPr>
  </w:style>
  <w:style w:type="paragraph" w:styleId="Heading1">
    <w:name w:val="heading 1"/>
    <w:basedOn w:val="Normal"/>
    <w:next w:val="BodyText"/>
    <w:qFormat/>
    <w:pPr>
      <w:keepNext/>
      <w:keepLines/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Heading2">
    <w:name w:val="heading 2"/>
    <w:basedOn w:val="BodyText"/>
    <w:next w:val="BodyText"/>
    <w:qFormat/>
    <w:pPr>
      <w:keepNext/>
      <w:keepLines/>
      <w:pageBreakBefore/>
      <w:pBdr>
        <w:top w:val="single" w:sz="48" w:space="4" w:color="auto"/>
      </w:pBdr>
      <w:ind w:left="0"/>
      <w:outlineLvl w:val="1"/>
    </w:pPr>
    <w:rPr>
      <w:b/>
      <w:sz w:val="28"/>
    </w:rPr>
  </w:style>
  <w:style w:type="paragraph" w:styleId="Heading3">
    <w:name w:val="heading 3"/>
    <w:basedOn w:val="BodyText"/>
    <w:next w:val="BodyText"/>
    <w:qFormat/>
    <w:pPr>
      <w:keepNext/>
      <w:keepLines/>
      <w:ind w:left="0"/>
      <w:outlineLvl w:val="2"/>
    </w:pPr>
    <w:rPr>
      <w:b/>
      <w:sz w:val="24"/>
    </w:rPr>
  </w:style>
  <w:style w:type="paragraph" w:styleId="Heading4">
    <w:name w:val="heading 4"/>
    <w:basedOn w:val="BodyText"/>
    <w:next w:val="BodyText"/>
    <w:qFormat/>
    <w:pPr>
      <w:keepNext/>
      <w:keepLines/>
      <w:pBdr>
        <w:bottom w:val="single" w:sz="6" w:space="1" w:color="auto"/>
      </w:pBdr>
      <w:tabs>
        <w:tab w:val="center" w:pos="6480"/>
        <w:tab w:val="right" w:pos="10440"/>
      </w:tabs>
      <w:spacing w:before="240" w:after="0"/>
      <w:outlineLvl w:val="3"/>
    </w:pPr>
    <w:rPr>
      <w:b/>
    </w:rPr>
  </w:style>
  <w:style w:type="paragraph" w:styleId="Heading5">
    <w:name w:val="heading 5"/>
    <w:basedOn w:val="BodyText"/>
    <w:next w:val="BodyText"/>
    <w:qFormat/>
    <w:pPr>
      <w:keepNext/>
      <w:keepLines/>
      <w:outlineLvl w:val="4"/>
    </w:pPr>
    <w:rPr>
      <w:b/>
      <w:i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" w:hAnsi="Times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" w:hAnsi="Times"/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" w:hAnsi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ind w:left="2520"/>
    </w:pPr>
  </w:style>
  <w:style w:type="paragraph" w:styleId="NormalIndent">
    <w:name w:val="Normal Indent"/>
    <w:basedOn w:val="Normal"/>
    <w:pPr>
      <w:tabs>
        <w:tab w:val="left" w:pos="2880"/>
      </w:tabs>
      <w:ind w:left="1152"/>
    </w:pPr>
  </w:style>
  <w:style w:type="paragraph" w:styleId="TOC5">
    <w:name w:val="toc 5"/>
    <w:basedOn w:val="Normal"/>
    <w:next w:val="Normal"/>
    <w:semiHidden/>
    <w:pPr>
      <w:tabs>
        <w:tab w:val="right" w:leader="dot" w:pos="10080"/>
      </w:tabs>
      <w:ind w:left="3600"/>
    </w:pPr>
    <w:rPr>
      <w:sz w:val="18"/>
    </w:rPr>
  </w:style>
  <w:style w:type="paragraph" w:customStyle="1" w:styleId="Checklist-X">
    <w:name w:val="Checklist-X"/>
    <w:basedOn w:val="Checklist"/>
  </w:style>
  <w:style w:type="paragraph" w:styleId="TOC3">
    <w:name w:val="toc 3"/>
    <w:basedOn w:val="Normal"/>
    <w:next w:val="Normal"/>
    <w:semiHidden/>
    <w:pPr>
      <w:tabs>
        <w:tab w:val="right" w:leader="dot" w:pos="10080"/>
      </w:tabs>
      <w:ind w:left="2880"/>
    </w:pPr>
  </w:style>
  <w:style w:type="paragraph" w:styleId="TOC2">
    <w:name w:val="toc 2"/>
    <w:basedOn w:val="Normal"/>
    <w:next w:val="Normal"/>
    <w:semiHidden/>
    <w:pPr>
      <w:tabs>
        <w:tab w:val="right" w:leader="dot" w:pos="10080"/>
      </w:tabs>
      <w:spacing w:before="120" w:after="120"/>
      <w:ind w:left="2520"/>
    </w:pPr>
  </w:style>
  <w:style w:type="paragraph" w:styleId="TOC1">
    <w:name w:val="toc 1"/>
    <w:basedOn w:val="Normal"/>
    <w:next w:val="Normal"/>
    <w:semiHidden/>
    <w:pPr>
      <w:keepNext/>
      <w:tabs>
        <w:tab w:val="left" w:pos="2520"/>
        <w:tab w:val="right" w:leader="dot" w:pos="10080"/>
      </w:tabs>
      <w:spacing w:before="240" w:after="120"/>
    </w:pPr>
    <w:rPr>
      <w:b/>
    </w:rPr>
  </w:style>
  <w:style w:type="paragraph" w:styleId="Footer">
    <w:name w:val="footer"/>
    <w:basedOn w:val="Normal"/>
    <w:pPr>
      <w:tabs>
        <w:tab w:val="right" w:pos="7920"/>
      </w:tabs>
    </w:pPr>
    <w:rPr>
      <w:sz w:val="16"/>
    </w:rPr>
  </w:style>
  <w:style w:type="paragraph" w:styleId="Header">
    <w:name w:val="header"/>
    <w:basedOn w:val="Normal"/>
    <w:pPr>
      <w:tabs>
        <w:tab w:val="right" w:pos="10440"/>
      </w:tabs>
    </w:pPr>
    <w:rPr>
      <w:sz w:val="16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spacing w:after="240"/>
      <w:ind w:hanging="720"/>
    </w:pPr>
  </w:style>
  <w:style w:type="paragraph" w:styleId="Title">
    <w:name w:val="Title"/>
    <w:qFormat/>
    <w:pPr>
      <w:keepLines/>
      <w:spacing w:after="120"/>
      <w:ind w:left="2520" w:right="720"/>
    </w:pPr>
    <w:rPr>
      <w:rFonts w:ascii="Book Antiqua" w:hAnsi="Book Antiqua"/>
      <w:sz w:val="48"/>
    </w:rPr>
  </w:style>
  <w:style w:type="paragraph" w:customStyle="1" w:styleId="Bullet">
    <w:name w:val="Bullet"/>
    <w:basedOn w:val="BodyText"/>
    <w:pPr>
      <w:keepLines/>
      <w:spacing w:before="60" w:after="60"/>
      <w:ind w:left="3096" w:hanging="216"/>
    </w:pPr>
  </w:style>
  <w:style w:type="paragraph" w:customStyle="1" w:styleId="tty132">
    <w:name w:val="tty132"/>
    <w:basedOn w:val="tty80"/>
    <w:rPr>
      <w:sz w:val="12"/>
    </w:rPr>
  </w:style>
  <w:style w:type="paragraph" w:customStyle="1" w:styleId="tty80">
    <w:name w:val="tty80"/>
    <w:basedOn w:val="Normal"/>
    <w:rPr>
      <w:rFonts w:ascii="Courier New" w:hAnsi="Courier New"/>
    </w:rPr>
  </w:style>
  <w:style w:type="paragraph" w:customStyle="1" w:styleId="hangingindent">
    <w:name w:val="hanging indent"/>
    <w:basedOn w:val="BodyText"/>
    <w:pPr>
      <w:keepLines/>
      <w:ind w:left="5400" w:hanging="2880"/>
    </w:pPr>
  </w:style>
  <w:style w:type="paragraph" w:customStyle="1" w:styleId="TableText">
    <w:name w:val="Table Text"/>
    <w:basedOn w:val="Normal"/>
    <w:pPr>
      <w:keepLines/>
    </w:pPr>
    <w:rPr>
      <w:sz w:val="16"/>
    </w:rPr>
  </w:style>
  <w:style w:type="paragraph" w:customStyle="1" w:styleId="NumberList">
    <w:name w:val="Number List"/>
    <w:basedOn w:val="BodyText"/>
    <w:pPr>
      <w:spacing w:before="60" w:after="60"/>
      <w:ind w:left="3240" w:hanging="360"/>
    </w:pPr>
  </w:style>
  <w:style w:type="paragraph" w:customStyle="1" w:styleId="HeadingBar">
    <w:name w:val="Heading Bar"/>
    <w:basedOn w:val="Normal"/>
    <w:next w:val="Heading3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paragraph" w:customStyle="1" w:styleId="InfoBox">
    <w:name w:val="Info Box"/>
    <w:basedOn w:val="BodyText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  <w:between w:val="single" w:sz="6" w:space="6" w:color="auto"/>
      </w:pBdr>
      <w:ind w:left="3600" w:right="1080"/>
      <w:jc w:val="center"/>
    </w:pPr>
    <w:rPr>
      <w:sz w:val="18"/>
    </w:rPr>
  </w:style>
  <w:style w:type="paragraph" w:customStyle="1" w:styleId="tty180">
    <w:name w:val="tty180"/>
    <w:basedOn w:val="tty80"/>
    <w:pPr>
      <w:ind w:right="-720"/>
    </w:pPr>
    <w:rPr>
      <w:sz w:val="8"/>
    </w:rPr>
  </w:style>
  <w:style w:type="paragraph" w:customStyle="1" w:styleId="TitleBar">
    <w:name w:val="Title Bar"/>
    <w:basedOn w:val="Normal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customStyle="1" w:styleId="tty80indent">
    <w:name w:val="tty80 indent"/>
    <w:basedOn w:val="tty80"/>
    <w:pPr>
      <w:ind w:left="2895"/>
    </w:pPr>
  </w:style>
  <w:style w:type="paragraph" w:customStyle="1" w:styleId="TOCHeading1">
    <w:name w:val="TOC Heading1"/>
    <w:basedOn w:val="Normal"/>
    <w:pPr>
      <w:keepNext/>
      <w:pageBreakBefore/>
      <w:pBdr>
        <w:top w:val="single" w:sz="48" w:space="26" w:color="auto"/>
      </w:pBdr>
      <w:spacing w:before="960" w:after="960"/>
      <w:ind w:left="2520"/>
    </w:pPr>
    <w:rPr>
      <w:sz w:val="36"/>
    </w:rPr>
  </w:style>
  <w:style w:type="character" w:customStyle="1" w:styleId="ChapterTitle">
    <w:name w:val="Chapter Title"/>
    <w:basedOn w:val="DefaultParagraphFont"/>
  </w:style>
  <w:style w:type="paragraph" w:customStyle="1" w:styleId="Legal">
    <w:name w:val="Legal"/>
    <w:basedOn w:val="Normal"/>
    <w:pPr>
      <w:spacing w:after="240"/>
      <w:ind w:left="2160"/>
    </w:pPr>
    <w:rPr>
      <w:rFonts w:ascii="Times" w:hAnsi="Times"/>
    </w:rPr>
  </w:style>
  <w:style w:type="character" w:customStyle="1" w:styleId="HighlightedVariable">
    <w:name w:val="Highlighted Variable"/>
    <w:rPr>
      <w:color w:val="0000FF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Heading">
    <w:name w:val="Table Heading"/>
    <w:basedOn w:val="TableText"/>
    <w:pPr>
      <w:spacing w:before="120" w:after="120"/>
    </w:pPr>
    <w:rPr>
      <w:b/>
    </w:rPr>
  </w:style>
  <w:style w:type="paragraph" w:customStyle="1" w:styleId="Checklist">
    <w:name w:val="Checklist"/>
    <w:basedOn w:val="Bullet"/>
    <w:pPr>
      <w:ind w:left="3427" w:hanging="54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 Narrow" w:hAnsi="Arial Narrow"/>
    </w:rPr>
  </w:style>
  <w:style w:type="paragraph" w:styleId="TOC4">
    <w:name w:val="toc 4"/>
    <w:basedOn w:val="Normal"/>
    <w:next w:val="Normal"/>
    <w:semiHidden/>
    <w:pPr>
      <w:tabs>
        <w:tab w:val="right" w:leader="dot" w:pos="10080"/>
      </w:tabs>
      <w:ind w:left="324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outeTitle">
    <w:name w:val="Route Title"/>
    <w:basedOn w:val="Normal"/>
    <w:pPr>
      <w:keepLines/>
      <w:spacing w:after="120"/>
      <w:ind w:left="2520" w:right="720"/>
    </w:pPr>
    <w:rPr>
      <w:sz w:val="36"/>
    </w:rPr>
  </w:style>
  <w:style w:type="paragraph" w:customStyle="1" w:styleId="Title-Major">
    <w:name w:val="Title-Major"/>
    <w:basedOn w:val="Title"/>
    <w:rPr>
      <w:smallCaps/>
    </w:rPr>
  </w:style>
  <w:style w:type="paragraph" w:customStyle="1" w:styleId="Note">
    <w:name w:val="Note"/>
    <w:basedOn w:val="BodyText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720" w:right="5040" w:hanging="720"/>
    </w:pPr>
    <w:rPr>
      <w:vanish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Pr>
      <w:rFonts w:ascii="Times New Roman" w:hAnsi="Times New Roman"/>
      <w:color w:val="08204F"/>
      <w:sz w:val="22"/>
      <w:szCs w:val="18"/>
    </w:rPr>
  </w:style>
  <w:style w:type="paragraph" w:styleId="List">
    <w:name w:val="List"/>
    <w:basedOn w:val="Normal"/>
    <w:pPr>
      <w:autoSpaceDE w:val="0"/>
      <w:autoSpaceDN w:val="0"/>
      <w:ind w:left="360" w:hanging="360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44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autoSpaceDE w:val="0"/>
      <w:autoSpaceDN w:val="0"/>
      <w:ind w:left="720"/>
    </w:pPr>
    <w:rPr>
      <w:rFonts w:ascii="Arial" w:hAnsi="Arial" w:cs="Arial"/>
      <w:sz w:val="22"/>
      <w:szCs w:val="22"/>
    </w:rPr>
  </w:style>
  <w:style w:type="character" w:styleId="Hyperlink">
    <w:name w:val="Hyperlink"/>
    <w:rsid w:val="00EF10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6AC"/>
    <w:pPr>
      <w:ind w:left="720"/>
    </w:pPr>
  </w:style>
  <w:style w:type="paragraph" w:styleId="BalloonText">
    <w:name w:val="Balloon Text"/>
    <w:basedOn w:val="Normal"/>
    <w:semiHidden/>
    <w:rsid w:val="003E0367"/>
    <w:rPr>
      <w:rFonts w:ascii="Tahoma" w:hAnsi="Tahoma"/>
      <w:sz w:val="16"/>
      <w:szCs w:val="16"/>
    </w:rPr>
  </w:style>
  <w:style w:type="character" w:customStyle="1" w:styleId="ro103129">
    <w:name w:val="ro103129"/>
    <w:semiHidden/>
    <w:rsid w:val="00A34AEE"/>
    <w:rPr>
      <w:rFonts w:ascii="Arial" w:hAnsi="Arial" w:cs="Arial"/>
      <w:color w:val="auto"/>
      <w:sz w:val="20"/>
      <w:szCs w:val="20"/>
    </w:rPr>
  </w:style>
  <w:style w:type="character" w:customStyle="1" w:styleId="EmailStyle171">
    <w:name w:val="EmailStyle171"/>
    <w:semiHidden/>
    <w:rsid w:val="00114CA7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2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2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THOD\OM2\Projects\CD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914B-BC4C-48DA-9F2C-19723CFB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CDM.dot</Template>
  <TotalTime>6</TotalTime>
  <Pages>4</Pages>
  <Words>717</Words>
  <Characters>4090</Characters>
  <Application>Microsoft Office Word</Application>
  <DocSecurity>2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SDM-PM011</vt:lpstr>
    </vt:vector>
  </TitlesOfParts>
  <Company>Nextel Corporation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SDM-PM011</dc:title>
  <dc:subject>Meeting Minutes</dc:subject>
  <dc:creator>PCTech</dc:creator>
  <dc:description>V 2 - dated 03-06-01_x000d_
  [Minor edits &amp; renames template]_x000d_
V 1 - dated 12-15-99_x000d_
  [Initial Document]</dc:description>
  <cp:lastModifiedBy>PCTech</cp:lastModifiedBy>
  <cp:revision>3</cp:revision>
  <cp:lastPrinted>2009-01-27T17:51:00Z</cp:lastPrinted>
  <dcterms:created xsi:type="dcterms:W3CDTF">2014-02-06T17:30:00Z</dcterms:created>
  <dcterms:modified xsi:type="dcterms:W3CDTF">2014-02-06T17:35:00Z</dcterms:modified>
  <cp:category>SDM Template</cp:category>
</cp:coreProperties>
</file>