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918"/>
        <w:gridCol w:w="1559"/>
        <w:gridCol w:w="2411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C70AB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1B0E89">
              <w:rPr>
                <w:b/>
                <w:color w:val="0000FF"/>
                <w:sz w:val="22"/>
              </w:rPr>
              <w:t>, July 29</w:t>
            </w:r>
            <w:r w:rsidR="007F7613">
              <w:rPr>
                <w:b/>
                <w:color w:val="0000FF"/>
                <w:sz w:val="22"/>
              </w:rPr>
              <w:t>, 2014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DF123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521646">
              <w:rPr>
                <w:b/>
                <w:color w:val="0000FF"/>
                <w:sz w:val="22"/>
              </w:rPr>
              <w:t xml:space="preserve">  </w:t>
            </w:r>
            <w:r w:rsidR="00DF1231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10"/>
              <w:gridCol w:w="4652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Default="006107FD" w:rsidP="00EA4664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FD0CC9" w:rsidRDefault="000466A2" w:rsidP="00FD0CC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D0CC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1B0E89" w:rsidRDefault="00AA282F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1B0E89">
                    <w:rPr>
                      <w:rFonts w:ascii="Times New Roman" w:hAnsi="Times New Roman"/>
                      <w:color w:val="000000"/>
                    </w:rPr>
                    <w:t>Mary Retka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1B0E89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B0E89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 w:rsidP="006D7F1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54000">
                    <w:rPr>
                      <w:rFonts w:ascii="Times New Roman" w:hAnsi="Times New Roman"/>
                      <w:b/>
                      <w:color w:val="000000"/>
                    </w:rPr>
                    <w:t>Rosemary Emmer</w:t>
                  </w:r>
                  <w:r w:rsidRPr="00F54000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r w:rsidRPr="001B0E89">
                    <w:rPr>
                      <w:rFonts w:ascii="Times New Roman" w:hAnsi="Times New Roman"/>
                      <w:b/>
                      <w:color w:val="000000"/>
                    </w:rPr>
                    <w:t>Karen Riepenkroger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B8339C" w:rsidRDefault="0076615C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8339C">
                    <w:rPr>
                      <w:rFonts w:ascii="Times New Roman" w:hAnsi="Times New Roman"/>
                      <w:b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AC57BE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57BE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F54000">
                    <w:rPr>
                      <w:bCs/>
                      <w:color w:val="000000"/>
                      <w:sz w:val="20"/>
                    </w:rPr>
                    <w:t xml:space="preserve">Ann Stevens, </w:t>
                  </w:r>
                  <w:r w:rsidRPr="00653418">
                    <w:rPr>
                      <w:bCs/>
                      <w:color w:val="000000"/>
                      <w:sz w:val="20"/>
                    </w:rPr>
                    <w:t xml:space="preserve">Gary </w:t>
                  </w:r>
                  <w:proofErr w:type="spellStart"/>
                  <w:r w:rsidRPr="00653418">
                    <w:rPr>
                      <w:bCs/>
                      <w:color w:val="000000"/>
                      <w:sz w:val="20"/>
                    </w:rPr>
                    <w:t>Remondino</w:t>
                  </w:r>
                  <w:proofErr w:type="spellEnd"/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F54000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F54000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B8339C">
                    <w:rPr>
                      <w:color w:val="000000"/>
                      <w:sz w:val="20"/>
                    </w:rPr>
                    <w:t xml:space="preserve">Faith </w:t>
                  </w:r>
                  <w:proofErr w:type="spellStart"/>
                  <w:r w:rsidRPr="00B8339C">
                    <w:rPr>
                      <w:color w:val="000000"/>
                      <w:sz w:val="20"/>
                    </w:rPr>
                    <w:t>Marcott</w:t>
                  </w:r>
                  <w:proofErr w:type="spellEnd"/>
                  <w:r w:rsidRPr="00B8339C">
                    <w:rPr>
                      <w:color w:val="000000"/>
                      <w:sz w:val="20"/>
                    </w:rPr>
                    <w:t>,</w:t>
                  </w:r>
                  <w:r w:rsidRPr="00F54000">
                    <w:rPr>
                      <w:color w:val="000000"/>
                      <w:sz w:val="20"/>
                    </w:rPr>
                    <w:t xml:space="preserve"> </w:t>
                  </w:r>
                  <w:r w:rsidRPr="00F54000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ED54C8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ED54C8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2F016E">
            <w:pPr>
              <w:pStyle w:val="TableHeading"/>
              <w:jc w:val="center"/>
              <w:rPr>
                <w:sz w:val="24"/>
              </w:rPr>
            </w:pPr>
            <w:r>
              <w:rPr>
                <w:sz w:val="24"/>
              </w:rPr>
              <w:t>Meeting Notes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3D1420">
            <w:pPr>
              <w:pStyle w:val="TableHeading"/>
              <w:jc w:val="center"/>
              <w:rPr>
                <w:sz w:val="24"/>
              </w:rPr>
            </w:pPr>
            <w:r>
              <w:rPr>
                <w:sz w:val="24"/>
              </w:rPr>
              <w:t>Action</w:t>
            </w:r>
            <w:r w:rsidR="00456518">
              <w:rPr>
                <w:sz w:val="24"/>
              </w:rPr>
              <w:t>/Due Date</w:t>
            </w: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Proposed Agenda: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B8339C" w:rsidRDefault="00B8339C" w:rsidP="00B8339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B8339C" w:rsidRDefault="00B8339C" w:rsidP="00B8339C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FD0CC9" w:rsidRDefault="00A70B25" w:rsidP="00FD0CC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</w:t>
            </w:r>
            <w:r w:rsidR="001B0E89">
              <w:rPr>
                <w:rFonts w:ascii="Arial" w:hAnsi="Arial" w:cs="Arial"/>
              </w:rPr>
              <w:t>June 24</w:t>
            </w:r>
            <w:r w:rsidR="00FD0CC9">
              <w:rPr>
                <w:rFonts w:ascii="Arial" w:hAnsi="Arial" w:cs="Arial"/>
              </w:rPr>
              <w:t>, 2014 meeting notes</w:t>
            </w:r>
          </w:p>
          <w:p w:rsidR="00FD0CC9" w:rsidRDefault="001B0E89" w:rsidP="00FD0CC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June</w:t>
            </w:r>
            <w:r w:rsidR="00FD0CC9">
              <w:rPr>
                <w:rFonts w:ascii="Arial" w:hAnsi="Arial" w:cs="Arial"/>
              </w:rPr>
              <w:t xml:space="preserve"> NANP Report (Welch)</w:t>
            </w:r>
          </w:p>
          <w:p w:rsidR="00FD0CC9" w:rsidRDefault="00FD0CC9" w:rsidP="00FD0CC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contract extension (any news?)</w:t>
            </w:r>
          </w:p>
          <w:p w:rsidR="00B8339C" w:rsidRDefault="00B8339C" w:rsidP="00B8339C">
            <w:pPr>
              <w:ind w:left="360"/>
              <w:rPr>
                <w:rFonts w:ascii="Arial" w:hAnsi="Arial" w:cs="Arial"/>
              </w:rPr>
            </w:pPr>
          </w:p>
          <w:p w:rsidR="00B8339C" w:rsidRDefault="00B8339C" w:rsidP="00B8339C">
            <w:pPr>
              <w:rPr>
                <w:rFonts w:ascii="Arial" w:hAnsi="Arial" w:cs="Arial"/>
                <w:b/>
                <w:bCs/>
              </w:rPr>
            </w:pPr>
          </w:p>
          <w:p w:rsidR="00B8339C" w:rsidRDefault="00B8339C" w:rsidP="00B8339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B8339C" w:rsidRDefault="00B8339C" w:rsidP="00B8339C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B8339C" w:rsidRDefault="00B8339C" w:rsidP="007134B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</w:rPr>
              <w:t> </w:t>
            </w:r>
          </w:p>
          <w:p w:rsidR="00787237" w:rsidRDefault="00233777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  <w:r w:rsidRPr="00233777">
              <w:rPr>
                <w:rFonts w:ascii="Arial" w:eastAsiaTheme="minorHAnsi" w:hAnsi="Arial" w:cs="Arial"/>
                <w:b/>
                <w:color w:val="FF0000"/>
              </w:rPr>
              <w:t>Discussion:</w:t>
            </w:r>
          </w:p>
          <w:p w:rsidR="00C671B0" w:rsidRDefault="00C671B0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</w:p>
          <w:p w:rsidR="00C671B0" w:rsidRDefault="008C0D92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Agenda Approved </w:t>
            </w:r>
          </w:p>
          <w:p w:rsidR="00B94E30" w:rsidRDefault="00B94E30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Meeting notes approved</w:t>
            </w:r>
          </w:p>
          <w:p w:rsidR="00764625" w:rsidRDefault="008340F9" w:rsidP="008340F9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 w:rsidRPr="008340F9">
              <w:rPr>
                <w:rFonts w:ascii="Arial" w:eastAsiaTheme="minorHAnsi" w:hAnsi="Arial" w:cs="Arial"/>
              </w:rPr>
              <w:t>The contract expired October</w:t>
            </w:r>
            <w:r w:rsidR="00B94E30">
              <w:rPr>
                <w:rFonts w:ascii="Arial" w:eastAsiaTheme="minorHAnsi" w:hAnsi="Arial" w:cs="Arial"/>
              </w:rPr>
              <w:t xml:space="preserve"> 1, 2009. Welch LLP rec</w:t>
            </w:r>
            <w:r w:rsidR="001B0E89">
              <w:rPr>
                <w:rFonts w:ascii="Arial" w:eastAsiaTheme="minorHAnsi" w:hAnsi="Arial" w:cs="Arial"/>
              </w:rPr>
              <w:t>eived an extension through 2014 – no new information</w:t>
            </w:r>
            <w:bookmarkStart w:id="0" w:name="_GoBack"/>
            <w:bookmarkEnd w:id="0"/>
          </w:p>
          <w:p w:rsidR="00113590" w:rsidRDefault="001B0E89" w:rsidP="00113590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Normal trend in calls after bills are sent out each year </w:t>
            </w:r>
          </w:p>
          <w:p w:rsidR="001B0E89" w:rsidRDefault="001B0E89" w:rsidP="00113590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No new news</w:t>
            </w:r>
          </w:p>
          <w:p w:rsidR="001B0E89" w:rsidRDefault="001B0E89" w:rsidP="00113590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NANC report will be done via email in September since we do not meet in August.</w:t>
            </w:r>
          </w:p>
          <w:p w:rsidR="001B0E89" w:rsidRPr="001B0E89" w:rsidRDefault="001B0E89" w:rsidP="001B0E89">
            <w:pPr>
              <w:ind w:left="360"/>
              <w:rPr>
                <w:rFonts w:ascii="Arial" w:eastAsiaTheme="minorHAnsi" w:hAnsi="Arial" w:cs="Arial"/>
              </w:rPr>
            </w:pPr>
          </w:p>
          <w:p w:rsidR="004F20B4" w:rsidRDefault="00764625" w:rsidP="008340F9">
            <w:pPr>
              <w:pStyle w:val="ListParagrap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</w:t>
            </w:r>
          </w:p>
          <w:p w:rsidR="00DE30E5" w:rsidRDefault="00764625" w:rsidP="00DE30E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7169F" w:rsidRDefault="0027169F" w:rsidP="00E83F6E">
            <w:pPr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339C" w:rsidRPr="00B52108" w:rsidRDefault="001B0E89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  <w:r w:rsidR="00A70B25" w:rsidRPr="00B52108">
              <w:rPr>
                <w:rFonts w:ascii="Arial" w:hAnsi="Arial" w:cs="Arial"/>
                <w:sz w:val="20"/>
              </w:rPr>
              <w:t xml:space="preserve"> </w:t>
            </w:r>
            <w:r w:rsidR="00B8339C" w:rsidRPr="00B52108">
              <w:rPr>
                <w:rFonts w:ascii="Arial" w:hAnsi="Arial" w:cs="Arial"/>
                <w:sz w:val="20"/>
              </w:rPr>
              <w:t>meeting notes approved.</w:t>
            </w:r>
          </w:p>
          <w:p w:rsidR="00A373C6" w:rsidRDefault="00A373C6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27169F" w:rsidRDefault="0027169F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3B74EF" w:rsidRDefault="003B74EF" w:rsidP="00BF18F3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</w:tbl>
    <w:p w:rsidR="0031673D" w:rsidRDefault="0031673D">
      <w:r>
        <w:br w:type="page"/>
      </w: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405462" w:rsidTr="00CB3F5D">
        <w:trPr>
          <w:cantSplit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:rsidR="007134BA" w:rsidRDefault="007134BA" w:rsidP="007134B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E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Funding Year Change</w:t>
            </w:r>
            <w:r w:rsidR="00B521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7670" w:rsidRPr="00B52108" w:rsidRDefault="00A47670" w:rsidP="007134BA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B66F97" w:rsidRDefault="00B52108" w:rsidP="00A4767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NANC approved t</w:t>
            </w:r>
            <w:r w:rsidR="00D84BD3">
              <w:rPr>
                <w:rFonts w:ascii="Arial" w:hAnsi="Arial" w:cs="Arial"/>
              </w:rPr>
              <w:t xml:space="preserve">he movement of the funding year. The next steps are for the NANC Chair to send the recommendation to the FCC and then for the FCC to codify this. </w:t>
            </w:r>
            <w:r w:rsidR="001B0E89" w:rsidRPr="001B0E89">
              <w:rPr>
                <w:rFonts w:ascii="Arial" w:hAnsi="Arial" w:cs="Arial"/>
                <w:color w:val="FF0000"/>
              </w:rPr>
              <w:t>(July 29</w:t>
            </w:r>
            <w:r w:rsidR="001B0E89" w:rsidRPr="001B0E89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="001B0E89" w:rsidRPr="001B0E89">
              <w:rPr>
                <w:rFonts w:ascii="Arial" w:hAnsi="Arial" w:cs="Arial"/>
                <w:color w:val="FF0000"/>
              </w:rPr>
              <w:t xml:space="preserve"> – have not seen this yet)</w:t>
            </w:r>
          </w:p>
          <w:p w:rsidR="00B66F97" w:rsidRDefault="00B66F97" w:rsidP="00A4767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A1A12" w:rsidRPr="00B52108" w:rsidRDefault="0058596D" w:rsidP="00A47670">
            <w:pPr>
              <w:autoSpaceDE w:val="0"/>
              <w:autoSpaceDN w:val="0"/>
              <w:rPr>
                <w:rFonts w:ascii="Arial" w:hAnsi="Arial" w:cs="Arial"/>
              </w:rPr>
            </w:pPr>
            <w:r w:rsidRPr="00B52108">
              <w:rPr>
                <w:rFonts w:ascii="Arial" w:hAnsi="Arial" w:cs="Arial"/>
              </w:rPr>
              <w:t>Currently the funding year ends in June. We bill in June based on revenue figures received in May and we collect beginning in July.</w:t>
            </w:r>
            <w:r w:rsidR="00A47670" w:rsidRPr="00B52108">
              <w:rPr>
                <w:rFonts w:ascii="Arial" w:hAnsi="Arial" w:cs="Arial"/>
              </w:rPr>
              <w:t xml:space="preserve"> We </w:t>
            </w:r>
            <w:r w:rsidR="00B66F97">
              <w:rPr>
                <w:rFonts w:ascii="Arial" w:hAnsi="Arial" w:cs="Arial"/>
              </w:rPr>
              <w:t xml:space="preserve">wait for FCC approval to </w:t>
            </w:r>
            <w:r w:rsidR="00A47670" w:rsidRPr="00B52108">
              <w:rPr>
                <w:rFonts w:ascii="Arial" w:hAnsi="Arial" w:cs="Arial"/>
              </w:rPr>
              <w:t>move the funding year to an October-September timeframe.</w:t>
            </w:r>
          </w:p>
          <w:p w:rsidR="00A47670" w:rsidRPr="00B52108" w:rsidRDefault="00A47670" w:rsidP="00A4767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A1A12" w:rsidRPr="00B52108" w:rsidRDefault="00A47670" w:rsidP="00A47670">
            <w:pPr>
              <w:autoSpaceDE w:val="0"/>
              <w:autoSpaceDN w:val="0"/>
              <w:rPr>
                <w:rFonts w:ascii="Arial" w:hAnsi="Arial" w:cs="Arial"/>
              </w:rPr>
            </w:pPr>
            <w:r w:rsidRPr="00B52108">
              <w:rPr>
                <w:rFonts w:ascii="Arial" w:hAnsi="Arial" w:cs="Arial"/>
              </w:rPr>
              <w:t xml:space="preserve">We need a year </w:t>
            </w:r>
            <w:r w:rsidR="0058596D" w:rsidRPr="00B52108">
              <w:rPr>
                <w:rFonts w:ascii="Arial" w:hAnsi="Arial" w:cs="Arial"/>
              </w:rPr>
              <w:t>notice in order to set the contribution factor higher to carry us through transition of 3-4 months. We would then bill for a 15-16 month timeframe for that unique (one time) cycle.</w:t>
            </w:r>
          </w:p>
          <w:p w:rsidR="00A47670" w:rsidRPr="00B52108" w:rsidRDefault="00A47670" w:rsidP="00A4767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134BA" w:rsidRPr="00B52108" w:rsidRDefault="005C7E55" w:rsidP="00A47670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We would</w:t>
            </w:r>
            <w:r w:rsidR="00A47670" w:rsidRPr="00B52108">
              <w:rPr>
                <w:rFonts w:ascii="Arial" w:hAnsi="Arial" w:cs="Arial"/>
              </w:rPr>
              <w:t xml:space="preserve"> bill in June, 2015 for a 15 month period covering</w:t>
            </w:r>
            <w:r w:rsidR="007134BA" w:rsidRPr="00B52108">
              <w:rPr>
                <w:rFonts w:ascii="Arial" w:hAnsi="Arial" w:cs="Arial"/>
                <w:bCs/>
              </w:rPr>
              <w:t xml:space="preserve"> July 2015 to September 2016.</w:t>
            </w:r>
          </w:p>
          <w:p w:rsidR="00A47670" w:rsidRPr="00B52108" w:rsidRDefault="00A47670" w:rsidP="00A47670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  <w:p w:rsidR="007134BA" w:rsidRPr="00B52108" w:rsidRDefault="005C7E55" w:rsidP="007F5F9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In September of 2016 we would</w:t>
            </w:r>
            <w:r w:rsidR="00A47670" w:rsidRPr="00B52108">
              <w:rPr>
                <w:rFonts w:ascii="Arial" w:hAnsi="Arial" w:cs="Arial"/>
                <w:bCs/>
              </w:rPr>
              <w:t xml:space="preserve"> again bill going forward for a year at a time.</w:t>
            </w:r>
          </w:p>
          <w:p w:rsidR="007134BA" w:rsidRDefault="007134BA" w:rsidP="007F5F92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3A5A53" w:rsidTr="00BB281F">
        <w:trPr>
          <w:cantSplit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:rsidR="003A5A53" w:rsidRDefault="003A5A53" w:rsidP="00B94E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 w:val="28"/>
                <w:szCs w:val="28"/>
              </w:rPr>
              <w:t>Deliverables Report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Distributing invoices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monthly and annual invoices for carriers were emailed on June 30, 2014. For those carriers for which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email</w:t>
            </w:r>
            <w:proofErr w:type="gramEnd"/>
            <w:r>
              <w:rPr>
                <w:rFonts w:ascii="Arial" w:hAnsi="Arial" w:cs="Arial"/>
              </w:rPr>
              <w:t xml:space="preserve"> addresses were not available, invoices were mailed on July 7th.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Processing Payments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information from the lockbox service at Mellon Bank is downloaded on a daily basis. The deposit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information</w:t>
            </w:r>
            <w:proofErr w:type="gramEnd"/>
            <w:r>
              <w:rPr>
                <w:rFonts w:ascii="Arial" w:hAnsi="Arial" w:cs="Arial"/>
              </w:rPr>
              <w:t xml:space="preserve"> is recorded daily.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Late/Absent Payments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continuing with collections for carriers with outstanding balances. Statements were mailed at the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beginning of the month to carriers with balances greater than $10 that have not been sent to Treasury for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collections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FCC Red Light Notices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a minimum, an updated red light report is posted to the FCC server for processing once a week. When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required</w:t>
            </w:r>
            <w:proofErr w:type="gramEnd"/>
            <w:r>
              <w:rPr>
                <w:rFonts w:ascii="Arial" w:hAnsi="Arial" w:cs="Arial"/>
              </w:rPr>
              <w:t>, additional updates are posted.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Helpdesk Queries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queries are directed to a helpdesk voicemail inbox or email inbox. The information is transferred to an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database. The date, nature of query, name of filer, Filer ID, who responded and on what date and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resolution is tracked. Queries are returned usually within 3 business days. Ninety-three calls and emails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received in June Most calls are questions about the invoice received, the late filing fee, how to pay,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copies of invoices, why are they red lighted, change of address, they are out of business or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requesting</w:t>
            </w:r>
            <w:proofErr w:type="gramEnd"/>
            <w:r>
              <w:rPr>
                <w:rFonts w:ascii="Arial" w:hAnsi="Arial" w:cs="Arial"/>
              </w:rPr>
              <w:t xml:space="preserve"> a W9.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Staffing Changes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new to report.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Contract Renewal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contract expired October 1, 2009. Welch LLP is on the USGSA list. Welch LLP received an 8 month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interim</w:t>
            </w:r>
            <w:proofErr w:type="gramEnd"/>
            <w:r>
              <w:rPr>
                <w:rFonts w:ascii="Arial" w:hAnsi="Arial" w:cs="Arial"/>
              </w:rPr>
              <w:t xml:space="preserve"> contract which covers the period from December 1, 2013 to July 31, 2014. Welch recently received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extension contract that will cover the period from August 1, 2014 to December 31, 2014.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Accounts Receivable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Balances still outstanding after 90 days from the due date are transferred to Treasury for collections.</w:t>
            </w:r>
          </w:p>
          <w:p w:rsidR="001B0E89" w:rsidRDefault="001B0E89" w:rsidP="001B0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was received in June from Treasury for debts collected.</w:t>
            </w:r>
          </w:p>
          <w:p w:rsidR="003A5A53" w:rsidRPr="00D777BA" w:rsidRDefault="003A5A53" w:rsidP="001B0E89">
            <w:pPr>
              <w:rPr>
                <w:rFonts w:ascii="Arial" w:hAnsi="Arial" w:cs="Arial"/>
                <w:sz w:val="22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:rsidR="0088091E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819B1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1B0E89">
              <w:rPr>
                <w:b/>
                <w:color w:val="000000"/>
                <w:sz w:val="36"/>
                <w:szCs w:val="36"/>
              </w:rPr>
              <w:t>September 30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8F734B">
              <w:rPr>
                <w:b/>
                <w:color w:val="000000"/>
                <w:sz w:val="36"/>
                <w:szCs w:val="36"/>
              </w:rPr>
              <w:t xml:space="preserve"> 2014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88091E" w:rsidRDefault="006231D2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Verizon</w:t>
            </w:r>
            <w:r w:rsidR="0088091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Bridge</w:t>
            </w:r>
            <w:r w:rsidR="0088091E" w:rsidRPr="00F6023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</w:t>
            </w:r>
            <w:r w:rsidR="008809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  <w:p w:rsidR="0088091E" w:rsidRPr="006231D2" w:rsidRDefault="0088091E" w:rsidP="006231D2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Bridge Number: 866.798.6697</w:t>
            </w: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Pass Code: 286.3906#</w:t>
            </w: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1B0E89" w:rsidRDefault="00E6164D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1B0E89" w:rsidRPr="001B0E89">
              <w:rPr>
                <w:rFonts w:ascii="Arial" w:hAnsi="Arial" w:cs="Arial"/>
              </w:rPr>
              <w:t>July 29</w:t>
            </w:r>
            <w:r w:rsidR="00282B22" w:rsidRPr="001B0E89">
              <w:rPr>
                <w:rFonts w:ascii="Arial" w:hAnsi="Arial" w:cs="Arial"/>
              </w:rPr>
              <w:t>,</w:t>
            </w:r>
            <w:r w:rsidR="00BA5940" w:rsidRPr="001B0E89">
              <w:rPr>
                <w:rFonts w:ascii="Arial" w:hAnsi="Arial" w:cs="Arial"/>
              </w:rPr>
              <w:t xml:space="preserve"> </w:t>
            </w:r>
            <w:r w:rsidR="00CE4FCE" w:rsidRPr="001B0E89">
              <w:rPr>
                <w:rFonts w:ascii="Arial" w:hAnsi="Arial" w:cs="Arial"/>
              </w:rPr>
              <w:t>2014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1B0E89" w:rsidRPr="001B0E89" w:rsidRDefault="00BA5940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Review </w:t>
            </w:r>
            <w:r w:rsidR="001B0E89" w:rsidRPr="001B0E89">
              <w:rPr>
                <w:rFonts w:ascii="Arial" w:hAnsi="Arial" w:cs="Arial"/>
              </w:rPr>
              <w:t>July and August</w:t>
            </w:r>
            <w:r w:rsidR="00282B22" w:rsidRPr="001B0E89">
              <w:rPr>
                <w:rFonts w:ascii="Arial" w:hAnsi="Arial" w:cs="Arial"/>
              </w:rPr>
              <w:t xml:space="preserve"> </w:t>
            </w:r>
            <w:r w:rsidR="00E6164D" w:rsidRPr="001B0E89">
              <w:rPr>
                <w:rFonts w:ascii="Arial" w:hAnsi="Arial" w:cs="Arial"/>
              </w:rPr>
              <w:t>NANP Report (Welch)</w:t>
            </w:r>
          </w:p>
          <w:p w:rsidR="00E6164D" w:rsidRDefault="00044EE8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>Discuss contract extension (any news?)</w:t>
            </w:r>
          </w:p>
          <w:p w:rsidR="001B0E89" w:rsidRPr="001B0E89" w:rsidRDefault="001B0E89" w:rsidP="001B0E89">
            <w:pPr>
              <w:ind w:left="360"/>
              <w:rPr>
                <w:rFonts w:ascii="Arial" w:hAnsi="Arial" w:cs="Arial"/>
              </w:rPr>
            </w:pPr>
          </w:p>
          <w:p w:rsidR="001B0E89" w:rsidRPr="001B0E89" w:rsidRDefault="001B0E89" w:rsidP="001B0E8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14666" w:rsidRDefault="00C14666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A47670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76" w:rsidRDefault="00C72176">
      <w:r>
        <w:separator/>
      </w:r>
    </w:p>
  </w:endnote>
  <w:endnote w:type="continuationSeparator" w:id="0">
    <w:p w:rsidR="00C72176" w:rsidRDefault="00C7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E89">
      <w:rPr>
        <w:rStyle w:val="PageNumber"/>
        <w:noProof/>
      </w:rPr>
      <w:t>2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r w:rsidR="00C72176">
      <w:fldChar w:fldCharType="begin"/>
    </w:r>
    <w:r w:rsidR="00C72176">
      <w:instrText xml:space="preserve"> REF DocVersion </w:instrText>
    </w:r>
    <w:r w:rsidR="00C72176">
      <w:fldChar w:fldCharType="separate"/>
    </w:r>
    <w:r>
      <w:instrText xml:space="preserve">1 </w:instrText>
    </w:r>
    <w:r w:rsidR="00C72176">
      <w:fldChar w:fldCharType="end"/>
    </w:r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r w:rsidR="00C72176">
      <w:fldChar w:fldCharType="begin"/>
    </w:r>
    <w:r w:rsidR="00C72176">
      <w:instrText xml:space="preserve"> REF DocVersion </w:instrText>
    </w:r>
    <w:r w:rsidR="00C72176">
      <w:fldChar w:fldCharType="separate"/>
    </w:r>
    <w:r>
      <w:instrText xml:space="preserve"> 1 </w:instrText>
    </w:r>
    <w:r w:rsidR="00C72176">
      <w:fldChar w:fldCharType="end"/>
    </w:r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0E89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1B0E89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B0E89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76" w:rsidRDefault="00C72176">
      <w:r>
        <w:separator/>
      </w:r>
    </w:p>
  </w:footnote>
  <w:footnote w:type="continuationSeparator" w:id="0">
    <w:p w:rsidR="00C72176" w:rsidRDefault="00C7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C72176">
      <w:fldChar w:fldCharType="begin"/>
    </w:r>
    <w:r w:rsidR="00C72176">
      <w:instrText xml:space="preserve"> REF DocControlNumber </w:instrText>
    </w:r>
    <w:r w:rsidR="00C72176">
      <w:fldChar w:fldCharType="separate"/>
    </w:r>
    <w:r>
      <w:rPr>
        <w:rStyle w:val="HighlightedVariable"/>
      </w:rPr>
      <w:instrText>&lt;Document Control Number&gt;</w:instrText>
    </w:r>
    <w:r>
      <w:instrText xml:space="preserve"> </w:instrText>
    </w:r>
    <w:r w:rsidR="00C72176">
      <w:fldChar w:fldCharType="end"/>
    </w:r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C72176">
      <w:fldChar w:fldCharType="begin"/>
    </w:r>
    <w:r w:rsidR="00C72176">
      <w:instrText xml:space="preserve"> REF DocControl</w:instrText>
    </w:r>
    <w:r w:rsidR="00C72176">
      <w:instrText xml:space="preserve">Number </w:instrText>
    </w:r>
    <w:r w:rsidR="00C72176">
      <w:fldChar w:fldCharType="separate"/>
    </w:r>
    <w:r>
      <w:instrText xml:space="preserve"> </w:instrText>
    </w:r>
    <w:r>
      <w:rPr>
        <w:rStyle w:val="HighlightedVariable"/>
      </w:rPr>
      <w:instrText>&lt;Document Control Number&gt;</w:instrText>
    </w:r>
    <w:r>
      <w:instrText xml:space="preserve"> </w:instrText>
    </w:r>
    <w:r w:rsidR="00C72176">
      <w:fldChar w:fldCharType="end"/>
    </w:r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117F34"/>
    <w:multiLevelType w:val="hybridMultilevel"/>
    <w:tmpl w:val="E8F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3BDB"/>
    <w:multiLevelType w:val="hybridMultilevel"/>
    <w:tmpl w:val="0D6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640C"/>
    <w:multiLevelType w:val="hybridMultilevel"/>
    <w:tmpl w:val="FD10EF4E"/>
    <w:lvl w:ilvl="0" w:tplc="0B4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30BE2"/>
    <w:multiLevelType w:val="hybridMultilevel"/>
    <w:tmpl w:val="324AACAE"/>
    <w:lvl w:ilvl="0" w:tplc="29BEE792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58E2"/>
    <w:multiLevelType w:val="hybridMultilevel"/>
    <w:tmpl w:val="333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A2C67"/>
    <w:multiLevelType w:val="hybridMultilevel"/>
    <w:tmpl w:val="6FBCEF30"/>
    <w:lvl w:ilvl="0" w:tplc="8754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6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D03740"/>
    <w:multiLevelType w:val="hybridMultilevel"/>
    <w:tmpl w:val="A4D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F64C6"/>
    <w:multiLevelType w:val="hybridMultilevel"/>
    <w:tmpl w:val="A27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36762"/>
    <w:multiLevelType w:val="hybridMultilevel"/>
    <w:tmpl w:val="E2348B9E"/>
    <w:lvl w:ilvl="0" w:tplc="68D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6FCA"/>
    <w:multiLevelType w:val="hybridMultilevel"/>
    <w:tmpl w:val="108C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04FD1"/>
    <w:multiLevelType w:val="hybridMultilevel"/>
    <w:tmpl w:val="148C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18"/>
  </w:num>
  <w:num w:numId="5">
    <w:abstractNumId w:val="26"/>
  </w:num>
  <w:num w:numId="6">
    <w:abstractNumId w:val="23"/>
  </w:num>
  <w:num w:numId="7">
    <w:abstractNumId w:val="0"/>
  </w:num>
  <w:num w:numId="8">
    <w:abstractNumId w:val="26"/>
  </w:num>
  <w:num w:numId="9">
    <w:abstractNumId w:val="23"/>
  </w:num>
  <w:num w:numId="10">
    <w:abstractNumId w:val="13"/>
  </w:num>
  <w:num w:numId="11">
    <w:abstractNumId w:val="26"/>
  </w:num>
  <w:num w:numId="12">
    <w:abstractNumId w:val="23"/>
  </w:num>
  <w:num w:numId="13">
    <w:abstractNumId w:val="24"/>
  </w:num>
  <w:num w:numId="14">
    <w:abstractNumId w:val="3"/>
  </w:num>
  <w:num w:numId="15">
    <w:abstractNumId w:val="26"/>
  </w:num>
  <w:num w:numId="16">
    <w:abstractNumId w:val="7"/>
  </w:num>
  <w:num w:numId="17">
    <w:abstractNumId w:val="4"/>
  </w:num>
  <w:num w:numId="18">
    <w:abstractNumId w:val="17"/>
  </w:num>
  <w:num w:numId="19">
    <w:abstractNumId w:val="26"/>
  </w:num>
  <w:num w:numId="20">
    <w:abstractNumId w:val="23"/>
  </w:num>
  <w:num w:numId="21">
    <w:abstractNumId w:val="20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22"/>
  </w:num>
  <w:num w:numId="26">
    <w:abstractNumId w:val="10"/>
  </w:num>
  <w:num w:numId="27">
    <w:abstractNumId w:val="6"/>
  </w:num>
  <w:num w:numId="28">
    <w:abstractNumId w:val="6"/>
  </w:num>
  <w:num w:numId="29">
    <w:abstractNumId w:val="10"/>
  </w:num>
  <w:num w:numId="30">
    <w:abstractNumId w:val="2"/>
  </w:num>
  <w:num w:numId="31">
    <w:abstractNumId w:val="1"/>
  </w:num>
  <w:num w:numId="32">
    <w:abstractNumId w:val="8"/>
  </w:num>
  <w:num w:numId="33">
    <w:abstractNumId w:val="9"/>
  </w:num>
  <w:num w:numId="34">
    <w:abstractNumId w:val="6"/>
  </w:num>
  <w:num w:numId="35">
    <w:abstractNumId w:val="10"/>
  </w:num>
  <w:num w:numId="36">
    <w:abstractNumId w:val="22"/>
  </w:num>
  <w:num w:numId="37">
    <w:abstractNumId w:val="15"/>
  </w:num>
  <w:num w:numId="38">
    <w:abstractNumId w:val="19"/>
  </w:num>
  <w:num w:numId="39">
    <w:abstractNumId w:val="16"/>
  </w:num>
  <w:num w:numId="40">
    <w:abstractNumId w:val="6"/>
  </w:num>
  <w:num w:numId="41">
    <w:abstractNumId w:val="10"/>
  </w:num>
  <w:num w:numId="42">
    <w:abstractNumId w:val="11"/>
  </w:num>
  <w:num w:numId="43">
    <w:abstractNumId w:val="5"/>
  </w:num>
  <w:num w:numId="4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3339F"/>
    <w:rsid w:val="0003509A"/>
    <w:rsid w:val="0003793E"/>
    <w:rsid w:val="00044128"/>
    <w:rsid w:val="00044EE8"/>
    <w:rsid w:val="000466A2"/>
    <w:rsid w:val="00052714"/>
    <w:rsid w:val="00053DBD"/>
    <w:rsid w:val="000601AC"/>
    <w:rsid w:val="00061EA6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17EE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10AE4"/>
    <w:rsid w:val="00112744"/>
    <w:rsid w:val="00113590"/>
    <w:rsid w:val="00114CA7"/>
    <w:rsid w:val="0011587C"/>
    <w:rsid w:val="0012237E"/>
    <w:rsid w:val="00123BB6"/>
    <w:rsid w:val="00124DEC"/>
    <w:rsid w:val="00125D63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5908"/>
    <w:rsid w:val="001664CA"/>
    <w:rsid w:val="00167F60"/>
    <w:rsid w:val="001703F7"/>
    <w:rsid w:val="00181C4D"/>
    <w:rsid w:val="00182276"/>
    <w:rsid w:val="00184A98"/>
    <w:rsid w:val="00186443"/>
    <w:rsid w:val="00194AC6"/>
    <w:rsid w:val="00197420"/>
    <w:rsid w:val="001A0DF3"/>
    <w:rsid w:val="001A3D1D"/>
    <w:rsid w:val="001A513D"/>
    <w:rsid w:val="001A54D8"/>
    <w:rsid w:val="001B0E89"/>
    <w:rsid w:val="001B29C3"/>
    <w:rsid w:val="001B4EF9"/>
    <w:rsid w:val="001B77EC"/>
    <w:rsid w:val="001C32EA"/>
    <w:rsid w:val="001C36C6"/>
    <w:rsid w:val="001D33B9"/>
    <w:rsid w:val="001D48C2"/>
    <w:rsid w:val="001D7D13"/>
    <w:rsid w:val="001E116D"/>
    <w:rsid w:val="001E24B8"/>
    <w:rsid w:val="001E33FF"/>
    <w:rsid w:val="001E3B76"/>
    <w:rsid w:val="001E3D08"/>
    <w:rsid w:val="001E5EF5"/>
    <w:rsid w:val="001F152C"/>
    <w:rsid w:val="001F3311"/>
    <w:rsid w:val="001F3AA7"/>
    <w:rsid w:val="001F48DD"/>
    <w:rsid w:val="0020102E"/>
    <w:rsid w:val="00205FEF"/>
    <w:rsid w:val="00206D10"/>
    <w:rsid w:val="00211F97"/>
    <w:rsid w:val="00212D8C"/>
    <w:rsid w:val="00213289"/>
    <w:rsid w:val="002143E0"/>
    <w:rsid w:val="00216693"/>
    <w:rsid w:val="002178C2"/>
    <w:rsid w:val="00221056"/>
    <w:rsid w:val="00221D4C"/>
    <w:rsid w:val="0022238B"/>
    <w:rsid w:val="002232D0"/>
    <w:rsid w:val="0022515B"/>
    <w:rsid w:val="0022708F"/>
    <w:rsid w:val="00230F57"/>
    <w:rsid w:val="0023115D"/>
    <w:rsid w:val="002312F4"/>
    <w:rsid w:val="00233777"/>
    <w:rsid w:val="00235AD9"/>
    <w:rsid w:val="00236391"/>
    <w:rsid w:val="0023759C"/>
    <w:rsid w:val="00240757"/>
    <w:rsid w:val="00243E2D"/>
    <w:rsid w:val="002500EF"/>
    <w:rsid w:val="00250AF6"/>
    <w:rsid w:val="002522F7"/>
    <w:rsid w:val="00253DB4"/>
    <w:rsid w:val="002545DF"/>
    <w:rsid w:val="0026072B"/>
    <w:rsid w:val="00261107"/>
    <w:rsid w:val="00266958"/>
    <w:rsid w:val="00266979"/>
    <w:rsid w:val="00270B12"/>
    <w:rsid w:val="0027169F"/>
    <w:rsid w:val="00271DA5"/>
    <w:rsid w:val="00277E9C"/>
    <w:rsid w:val="0028159C"/>
    <w:rsid w:val="00281E4C"/>
    <w:rsid w:val="00282B22"/>
    <w:rsid w:val="00282C92"/>
    <w:rsid w:val="0028316A"/>
    <w:rsid w:val="002845B2"/>
    <w:rsid w:val="0029226C"/>
    <w:rsid w:val="0029583D"/>
    <w:rsid w:val="00296480"/>
    <w:rsid w:val="00297484"/>
    <w:rsid w:val="002977AF"/>
    <w:rsid w:val="00297FC6"/>
    <w:rsid w:val="002A5D91"/>
    <w:rsid w:val="002A5D93"/>
    <w:rsid w:val="002B0046"/>
    <w:rsid w:val="002B4325"/>
    <w:rsid w:val="002B4463"/>
    <w:rsid w:val="002B632E"/>
    <w:rsid w:val="002B6515"/>
    <w:rsid w:val="002C295C"/>
    <w:rsid w:val="002C4357"/>
    <w:rsid w:val="002C653F"/>
    <w:rsid w:val="002C7BC2"/>
    <w:rsid w:val="002D0C9B"/>
    <w:rsid w:val="002D13A1"/>
    <w:rsid w:val="002D239F"/>
    <w:rsid w:val="002D3843"/>
    <w:rsid w:val="002D5866"/>
    <w:rsid w:val="002D58A1"/>
    <w:rsid w:val="002D659D"/>
    <w:rsid w:val="002E0435"/>
    <w:rsid w:val="002E712A"/>
    <w:rsid w:val="002F016E"/>
    <w:rsid w:val="002F1E22"/>
    <w:rsid w:val="002F49A8"/>
    <w:rsid w:val="002F5EED"/>
    <w:rsid w:val="0030460D"/>
    <w:rsid w:val="00304A22"/>
    <w:rsid w:val="00305B53"/>
    <w:rsid w:val="00307420"/>
    <w:rsid w:val="00310A93"/>
    <w:rsid w:val="00311669"/>
    <w:rsid w:val="00315BC3"/>
    <w:rsid w:val="0031673D"/>
    <w:rsid w:val="00323512"/>
    <w:rsid w:val="003259F8"/>
    <w:rsid w:val="00325D61"/>
    <w:rsid w:val="00326722"/>
    <w:rsid w:val="003275DA"/>
    <w:rsid w:val="0033152E"/>
    <w:rsid w:val="0033548D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3004"/>
    <w:rsid w:val="00354359"/>
    <w:rsid w:val="0035470A"/>
    <w:rsid w:val="003620DE"/>
    <w:rsid w:val="003621E2"/>
    <w:rsid w:val="0036288A"/>
    <w:rsid w:val="003646AC"/>
    <w:rsid w:val="0036510E"/>
    <w:rsid w:val="00365E8E"/>
    <w:rsid w:val="00366E73"/>
    <w:rsid w:val="00366E90"/>
    <w:rsid w:val="00371FDC"/>
    <w:rsid w:val="00374780"/>
    <w:rsid w:val="00382E46"/>
    <w:rsid w:val="00383BB7"/>
    <w:rsid w:val="00384F9D"/>
    <w:rsid w:val="00391F4E"/>
    <w:rsid w:val="00392D80"/>
    <w:rsid w:val="00393568"/>
    <w:rsid w:val="00393E0B"/>
    <w:rsid w:val="00394449"/>
    <w:rsid w:val="003A2320"/>
    <w:rsid w:val="003A5861"/>
    <w:rsid w:val="003A5A53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403C8C"/>
    <w:rsid w:val="0040530E"/>
    <w:rsid w:val="00405462"/>
    <w:rsid w:val="00406403"/>
    <w:rsid w:val="00406C75"/>
    <w:rsid w:val="00411C40"/>
    <w:rsid w:val="00414F23"/>
    <w:rsid w:val="00416060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6518"/>
    <w:rsid w:val="00456752"/>
    <w:rsid w:val="00461843"/>
    <w:rsid w:val="00462CCC"/>
    <w:rsid w:val="00463636"/>
    <w:rsid w:val="00464673"/>
    <w:rsid w:val="00466BA7"/>
    <w:rsid w:val="00467DE3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9A"/>
    <w:rsid w:val="004B06AF"/>
    <w:rsid w:val="004B14C9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D1EA5"/>
    <w:rsid w:val="004E0E9C"/>
    <w:rsid w:val="004E14A5"/>
    <w:rsid w:val="004E164A"/>
    <w:rsid w:val="004E1968"/>
    <w:rsid w:val="004E1F4C"/>
    <w:rsid w:val="004E26A0"/>
    <w:rsid w:val="004F20B4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2F70"/>
    <w:rsid w:val="00513BE8"/>
    <w:rsid w:val="00520DD7"/>
    <w:rsid w:val="00521646"/>
    <w:rsid w:val="005271B4"/>
    <w:rsid w:val="0053309D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B1C"/>
    <w:rsid w:val="00556E42"/>
    <w:rsid w:val="00561530"/>
    <w:rsid w:val="00561BD0"/>
    <w:rsid w:val="00562952"/>
    <w:rsid w:val="0056362C"/>
    <w:rsid w:val="00565540"/>
    <w:rsid w:val="0056794E"/>
    <w:rsid w:val="00567BC0"/>
    <w:rsid w:val="00573D18"/>
    <w:rsid w:val="00574E8B"/>
    <w:rsid w:val="0058099B"/>
    <w:rsid w:val="00581417"/>
    <w:rsid w:val="00581621"/>
    <w:rsid w:val="00582DF7"/>
    <w:rsid w:val="0058596D"/>
    <w:rsid w:val="00587D28"/>
    <w:rsid w:val="005906AB"/>
    <w:rsid w:val="00590CE5"/>
    <w:rsid w:val="00593403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4471"/>
    <w:rsid w:val="005C5017"/>
    <w:rsid w:val="005C6021"/>
    <w:rsid w:val="005C7E55"/>
    <w:rsid w:val="005D08DA"/>
    <w:rsid w:val="005D2650"/>
    <w:rsid w:val="005D5784"/>
    <w:rsid w:val="005D5DA6"/>
    <w:rsid w:val="005E74FF"/>
    <w:rsid w:val="005F27CB"/>
    <w:rsid w:val="005F3072"/>
    <w:rsid w:val="00601393"/>
    <w:rsid w:val="00602AC0"/>
    <w:rsid w:val="00605C9F"/>
    <w:rsid w:val="00606045"/>
    <w:rsid w:val="006100D6"/>
    <w:rsid w:val="006107FD"/>
    <w:rsid w:val="00611010"/>
    <w:rsid w:val="006117DA"/>
    <w:rsid w:val="006167D9"/>
    <w:rsid w:val="00620167"/>
    <w:rsid w:val="006231D2"/>
    <w:rsid w:val="00623C60"/>
    <w:rsid w:val="006244C8"/>
    <w:rsid w:val="006245B5"/>
    <w:rsid w:val="00627157"/>
    <w:rsid w:val="00627CCB"/>
    <w:rsid w:val="00630DF7"/>
    <w:rsid w:val="00634C2E"/>
    <w:rsid w:val="00640B76"/>
    <w:rsid w:val="00640EE8"/>
    <w:rsid w:val="00643728"/>
    <w:rsid w:val="00644813"/>
    <w:rsid w:val="00646754"/>
    <w:rsid w:val="00653418"/>
    <w:rsid w:val="00653641"/>
    <w:rsid w:val="0065566C"/>
    <w:rsid w:val="006620A7"/>
    <w:rsid w:val="00663AD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5469"/>
    <w:rsid w:val="00690AB0"/>
    <w:rsid w:val="00691996"/>
    <w:rsid w:val="00692FEB"/>
    <w:rsid w:val="00695B52"/>
    <w:rsid w:val="00696AA1"/>
    <w:rsid w:val="006A00F3"/>
    <w:rsid w:val="006A0911"/>
    <w:rsid w:val="006A1906"/>
    <w:rsid w:val="006A284C"/>
    <w:rsid w:val="006A34AC"/>
    <w:rsid w:val="006B42F7"/>
    <w:rsid w:val="006B46F5"/>
    <w:rsid w:val="006B70E3"/>
    <w:rsid w:val="006C01BF"/>
    <w:rsid w:val="006C036E"/>
    <w:rsid w:val="006C2AE3"/>
    <w:rsid w:val="006C3428"/>
    <w:rsid w:val="006C384F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F1250"/>
    <w:rsid w:val="006F499F"/>
    <w:rsid w:val="006F7C34"/>
    <w:rsid w:val="00700680"/>
    <w:rsid w:val="00702B18"/>
    <w:rsid w:val="00705488"/>
    <w:rsid w:val="00705D46"/>
    <w:rsid w:val="007067DE"/>
    <w:rsid w:val="00706FDD"/>
    <w:rsid w:val="0070706E"/>
    <w:rsid w:val="007134BA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5FC5"/>
    <w:rsid w:val="007466C7"/>
    <w:rsid w:val="00746F56"/>
    <w:rsid w:val="00747A8A"/>
    <w:rsid w:val="00751686"/>
    <w:rsid w:val="0075390E"/>
    <w:rsid w:val="0075499F"/>
    <w:rsid w:val="00756FB1"/>
    <w:rsid w:val="00762F22"/>
    <w:rsid w:val="00764625"/>
    <w:rsid w:val="00765AE5"/>
    <w:rsid w:val="0076615C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B025A"/>
    <w:rsid w:val="007B0572"/>
    <w:rsid w:val="007B05F2"/>
    <w:rsid w:val="007B6572"/>
    <w:rsid w:val="007C62EE"/>
    <w:rsid w:val="007C76DD"/>
    <w:rsid w:val="007C7CD4"/>
    <w:rsid w:val="007D4E6F"/>
    <w:rsid w:val="007D4FCC"/>
    <w:rsid w:val="007D5806"/>
    <w:rsid w:val="007E04D7"/>
    <w:rsid w:val="007E04DA"/>
    <w:rsid w:val="007E3F90"/>
    <w:rsid w:val="007E57FD"/>
    <w:rsid w:val="007E7300"/>
    <w:rsid w:val="007E738A"/>
    <w:rsid w:val="007F0291"/>
    <w:rsid w:val="007F0404"/>
    <w:rsid w:val="007F5F92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24A4B"/>
    <w:rsid w:val="00825952"/>
    <w:rsid w:val="00825B19"/>
    <w:rsid w:val="00826910"/>
    <w:rsid w:val="00826A60"/>
    <w:rsid w:val="00830916"/>
    <w:rsid w:val="0083174B"/>
    <w:rsid w:val="00834006"/>
    <w:rsid w:val="008340F9"/>
    <w:rsid w:val="00836B3B"/>
    <w:rsid w:val="00836E45"/>
    <w:rsid w:val="00840B62"/>
    <w:rsid w:val="00844F8D"/>
    <w:rsid w:val="008478A6"/>
    <w:rsid w:val="008478DC"/>
    <w:rsid w:val="0085114F"/>
    <w:rsid w:val="0085269D"/>
    <w:rsid w:val="008542C3"/>
    <w:rsid w:val="00855F3C"/>
    <w:rsid w:val="00860830"/>
    <w:rsid w:val="00860E95"/>
    <w:rsid w:val="00862F09"/>
    <w:rsid w:val="008645AC"/>
    <w:rsid w:val="00864A7E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3B2A"/>
    <w:rsid w:val="00896B4B"/>
    <w:rsid w:val="008A052B"/>
    <w:rsid w:val="008A5AF1"/>
    <w:rsid w:val="008A6699"/>
    <w:rsid w:val="008B14A8"/>
    <w:rsid w:val="008B4A4D"/>
    <w:rsid w:val="008B7E6F"/>
    <w:rsid w:val="008C0D92"/>
    <w:rsid w:val="008C12D9"/>
    <w:rsid w:val="008C18D9"/>
    <w:rsid w:val="008C38BD"/>
    <w:rsid w:val="008C6644"/>
    <w:rsid w:val="008C6A93"/>
    <w:rsid w:val="008D0385"/>
    <w:rsid w:val="008D119F"/>
    <w:rsid w:val="008D2BD5"/>
    <w:rsid w:val="008D2F9C"/>
    <w:rsid w:val="008D4211"/>
    <w:rsid w:val="008D443F"/>
    <w:rsid w:val="008E3AF3"/>
    <w:rsid w:val="008E567F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2575"/>
    <w:rsid w:val="00917967"/>
    <w:rsid w:val="00923A9A"/>
    <w:rsid w:val="00924036"/>
    <w:rsid w:val="00924F61"/>
    <w:rsid w:val="00925741"/>
    <w:rsid w:val="00926DCC"/>
    <w:rsid w:val="0093070D"/>
    <w:rsid w:val="00936EAA"/>
    <w:rsid w:val="0093710E"/>
    <w:rsid w:val="00943C27"/>
    <w:rsid w:val="00946D3C"/>
    <w:rsid w:val="00950E9B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1B37"/>
    <w:rsid w:val="0099209E"/>
    <w:rsid w:val="009932E1"/>
    <w:rsid w:val="00995FAB"/>
    <w:rsid w:val="009A01C2"/>
    <w:rsid w:val="009A1B9C"/>
    <w:rsid w:val="009A2BC0"/>
    <w:rsid w:val="009A3854"/>
    <w:rsid w:val="009A48B2"/>
    <w:rsid w:val="009A7EED"/>
    <w:rsid w:val="009C011F"/>
    <w:rsid w:val="009C0330"/>
    <w:rsid w:val="009C5202"/>
    <w:rsid w:val="009D1E6A"/>
    <w:rsid w:val="009D38EE"/>
    <w:rsid w:val="009D67BF"/>
    <w:rsid w:val="009E1BE1"/>
    <w:rsid w:val="009F066B"/>
    <w:rsid w:val="009F1AF5"/>
    <w:rsid w:val="009F45F2"/>
    <w:rsid w:val="009F6CCB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670"/>
    <w:rsid w:val="00A47951"/>
    <w:rsid w:val="00A51911"/>
    <w:rsid w:val="00A528AD"/>
    <w:rsid w:val="00A52ECD"/>
    <w:rsid w:val="00A546D9"/>
    <w:rsid w:val="00A5481E"/>
    <w:rsid w:val="00A54A54"/>
    <w:rsid w:val="00A60350"/>
    <w:rsid w:val="00A67D03"/>
    <w:rsid w:val="00A704FD"/>
    <w:rsid w:val="00A705E0"/>
    <w:rsid w:val="00A70B25"/>
    <w:rsid w:val="00A72485"/>
    <w:rsid w:val="00A73CAE"/>
    <w:rsid w:val="00A7400B"/>
    <w:rsid w:val="00A75ED7"/>
    <w:rsid w:val="00A76BF4"/>
    <w:rsid w:val="00A8009D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102D"/>
    <w:rsid w:val="00AA282F"/>
    <w:rsid w:val="00AB00F9"/>
    <w:rsid w:val="00AB0D7D"/>
    <w:rsid w:val="00AB4FC7"/>
    <w:rsid w:val="00AB4FF0"/>
    <w:rsid w:val="00AB6F08"/>
    <w:rsid w:val="00AC254D"/>
    <w:rsid w:val="00AC2B3F"/>
    <w:rsid w:val="00AC399A"/>
    <w:rsid w:val="00AC42D7"/>
    <w:rsid w:val="00AC57BE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270F"/>
    <w:rsid w:val="00AF4EB5"/>
    <w:rsid w:val="00AF59D9"/>
    <w:rsid w:val="00B01945"/>
    <w:rsid w:val="00B03572"/>
    <w:rsid w:val="00B06530"/>
    <w:rsid w:val="00B10F18"/>
    <w:rsid w:val="00B10F65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108"/>
    <w:rsid w:val="00B52EFB"/>
    <w:rsid w:val="00B56B5D"/>
    <w:rsid w:val="00B60D09"/>
    <w:rsid w:val="00B61ACD"/>
    <w:rsid w:val="00B6341B"/>
    <w:rsid w:val="00B638CD"/>
    <w:rsid w:val="00B65CC3"/>
    <w:rsid w:val="00B6681D"/>
    <w:rsid w:val="00B66F97"/>
    <w:rsid w:val="00B71158"/>
    <w:rsid w:val="00B73B20"/>
    <w:rsid w:val="00B73BA3"/>
    <w:rsid w:val="00B77FE9"/>
    <w:rsid w:val="00B81161"/>
    <w:rsid w:val="00B82395"/>
    <w:rsid w:val="00B82B99"/>
    <w:rsid w:val="00B82E88"/>
    <w:rsid w:val="00B8339C"/>
    <w:rsid w:val="00B847D7"/>
    <w:rsid w:val="00B9279D"/>
    <w:rsid w:val="00B93E31"/>
    <w:rsid w:val="00B94E30"/>
    <w:rsid w:val="00B94F21"/>
    <w:rsid w:val="00B95D73"/>
    <w:rsid w:val="00B961B1"/>
    <w:rsid w:val="00B96B76"/>
    <w:rsid w:val="00BA0744"/>
    <w:rsid w:val="00BA230E"/>
    <w:rsid w:val="00BA5940"/>
    <w:rsid w:val="00BB1D5C"/>
    <w:rsid w:val="00BD1F4A"/>
    <w:rsid w:val="00BD1F4B"/>
    <w:rsid w:val="00BD4139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8F3"/>
    <w:rsid w:val="00BF25DD"/>
    <w:rsid w:val="00BF2EB5"/>
    <w:rsid w:val="00BF47A3"/>
    <w:rsid w:val="00BF52E7"/>
    <w:rsid w:val="00BF57B3"/>
    <w:rsid w:val="00BF6772"/>
    <w:rsid w:val="00C01756"/>
    <w:rsid w:val="00C028AA"/>
    <w:rsid w:val="00C02FF5"/>
    <w:rsid w:val="00C04A64"/>
    <w:rsid w:val="00C0508A"/>
    <w:rsid w:val="00C116A9"/>
    <w:rsid w:val="00C12251"/>
    <w:rsid w:val="00C12E65"/>
    <w:rsid w:val="00C14666"/>
    <w:rsid w:val="00C23C9E"/>
    <w:rsid w:val="00C24049"/>
    <w:rsid w:val="00C258B3"/>
    <w:rsid w:val="00C27D4D"/>
    <w:rsid w:val="00C3193D"/>
    <w:rsid w:val="00C322A5"/>
    <w:rsid w:val="00C327A4"/>
    <w:rsid w:val="00C34465"/>
    <w:rsid w:val="00C4064B"/>
    <w:rsid w:val="00C42D94"/>
    <w:rsid w:val="00C43F03"/>
    <w:rsid w:val="00C45135"/>
    <w:rsid w:val="00C4798E"/>
    <w:rsid w:val="00C50C98"/>
    <w:rsid w:val="00C512DB"/>
    <w:rsid w:val="00C51A36"/>
    <w:rsid w:val="00C56898"/>
    <w:rsid w:val="00C57898"/>
    <w:rsid w:val="00C57ADA"/>
    <w:rsid w:val="00C57FDD"/>
    <w:rsid w:val="00C605FA"/>
    <w:rsid w:val="00C61C2C"/>
    <w:rsid w:val="00C61E1C"/>
    <w:rsid w:val="00C63946"/>
    <w:rsid w:val="00C6563F"/>
    <w:rsid w:val="00C671B0"/>
    <w:rsid w:val="00C67472"/>
    <w:rsid w:val="00C70AB2"/>
    <w:rsid w:val="00C72176"/>
    <w:rsid w:val="00C779FF"/>
    <w:rsid w:val="00C84003"/>
    <w:rsid w:val="00C84302"/>
    <w:rsid w:val="00C8588D"/>
    <w:rsid w:val="00C87202"/>
    <w:rsid w:val="00C907F4"/>
    <w:rsid w:val="00C9301C"/>
    <w:rsid w:val="00C95110"/>
    <w:rsid w:val="00C97260"/>
    <w:rsid w:val="00CA1843"/>
    <w:rsid w:val="00CA20F3"/>
    <w:rsid w:val="00CA2B5A"/>
    <w:rsid w:val="00CA2BB6"/>
    <w:rsid w:val="00CB45BB"/>
    <w:rsid w:val="00CB4BB9"/>
    <w:rsid w:val="00CB5A73"/>
    <w:rsid w:val="00CB6C1E"/>
    <w:rsid w:val="00CC30E9"/>
    <w:rsid w:val="00CC45F2"/>
    <w:rsid w:val="00CC5009"/>
    <w:rsid w:val="00CC65D4"/>
    <w:rsid w:val="00CC7848"/>
    <w:rsid w:val="00CD1A02"/>
    <w:rsid w:val="00CD72A2"/>
    <w:rsid w:val="00CE2E7C"/>
    <w:rsid w:val="00CE2E82"/>
    <w:rsid w:val="00CE49BE"/>
    <w:rsid w:val="00CE4FCE"/>
    <w:rsid w:val="00CE529C"/>
    <w:rsid w:val="00CF2285"/>
    <w:rsid w:val="00CF26C6"/>
    <w:rsid w:val="00CF314D"/>
    <w:rsid w:val="00CF3DE8"/>
    <w:rsid w:val="00CF5015"/>
    <w:rsid w:val="00CF6DBF"/>
    <w:rsid w:val="00D00963"/>
    <w:rsid w:val="00D0117A"/>
    <w:rsid w:val="00D014A5"/>
    <w:rsid w:val="00D0269F"/>
    <w:rsid w:val="00D02ACB"/>
    <w:rsid w:val="00D06768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1D2A"/>
    <w:rsid w:val="00D343E9"/>
    <w:rsid w:val="00D41C0E"/>
    <w:rsid w:val="00D44058"/>
    <w:rsid w:val="00D440B0"/>
    <w:rsid w:val="00D446B8"/>
    <w:rsid w:val="00D45A1E"/>
    <w:rsid w:val="00D515D3"/>
    <w:rsid w:val="00D516BC"/>
    <w:rsid w:val="00D51D5A"/>
    <w:rsid w:val="00D529AC"/>
    <w:rsid w:val="00D52A35"/>
    <w:rsid w:val="00D53425"/>
    <w:rsid w:val="00D540BE"/>
    <w:rsid w:val="00D57BF6"/>
    <w:rsid w:val="00D612F7"/>
    <w:rsid w:val="00D63EF6"/>
    <w:rsid w:val="00D75E24"/>
    <w:rsid w:val="00D75E92"/>
    <w:rsid w:val="00D7677D"/>
    <w:rsid w:val="00D777BA"/>
    <w:rsid w:val="00D80720"/>
    <w:rsid w:val="00D8145B"/>
    <w:rsid w:val="00D844AA"/>
    <w:rsid w:val="00D8489F"/>
    <w:rsid w:val="00D84BD3"/>
    <w:rsid w:val="00D854C5"/>
    <w:rsid w:val="00D93A49"/>
    <w:rsid w:val="00D9449D"/>
    <w:rsid w:val="00D9655A"/>
    <w:rsid w:val="00D96F09"/>
    <w:rsid w:val="00DA154B"/>
    <w:rsid w:val="00DA315B"/>
    <w:rsid w:val="00DA3AC1"/>
    <w:rsid w:val="00DA6176"/>
    <w:rsid w:val="00DA6237"/>
    <w:rsid w:val="00DA74E0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0E5"/>
    <w:rsid w:val="00DE3559"/>
    <w:rsid w:val="00DE3C9C"/>
    <w:rsid w:val="00DE6BBB"/>
    <w:rsid w:val="00DF0389"/>
    <w:rsid w:val="00DF1231"/>
    <w:rsid w:val="00E0140B"/>
    <w:rsid w:val="00E01B28"/>
    <w:rsid w:val="00E11A89"/>
    <w:rsid w:val="00E131DD"/>
    <w:rsid w:val="00E14365"/>
    <w:rsid w:val="00E1637E"/>
    <w:rsid w:val="00E16CA9"/>
    <w:rsid w:val="00E200B3"/>
    <w:rsid w:val="00E2047F"/>
    <w:rsid w:val="00E20AED"/>
    <w:rsid w:val="00E24382"/>
    <w:rsid w:val="00E24FCE"/>
    <w:rsid w:val="00E2716C"/>
    <w:rsid w:val="00E30530"/>
    <w:rsid w:val="00E36B45"/>
    <w:rsid w:val="00E36D01"/>
    <w:rsid w:val="00E37008"/>
    <w:rsid w:val="00E37022"/>
    <w:rsid w:val="00E40085"/>
    <w:rsid w:val="00E41369"/>
    <w:rsid w:val="00E41374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6847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4BF8"/>
    <w:rsid w:val="00EB532C"/>
    <w:rsid w:val="00EC1726"/>
    <w:rsid w:val="00EC5234"/>
    <w:rsid w:val="00EC5E47"/>
    <w:rsid w:val="00ED097A"/>
    <w:rsid w:val="00ED1236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128F"/>
    <w:rsid w:val="00F41993"/>
    <w:rsid w:val="00F42362"/>
    <w:rsid w:val="00F42589"/>
    <w:rsid w:val="00F43388"/>
    <w:rsid w:val="00F437E1"/>
    <w:rsid w:val="00F45D31"/>
    <w:rsid w:val="00F468B4"/>
    <w:rsid w:val="00F506A9"/>
    <w:rsid w:val="00F526D0"/>
    <w:rsid w:val="00F54000"/>
    <w:rsid w:val="00F60234"/>
    <w:rsid w:val="00F60AD8"/>
    <w:rsid w:val="00F60AE1"/>
    <w:rsid w:val="00F62C1E"/>
    <w:rsid w:val="00F64006"/>
    <w:rsid w:val="00F646EC"/>
    <w:rsid w:val="00F647E0"/>
    <w:rsid w:val="00F64FAA"/>
    <w:rsid w:val="00F66A41"/>
    <w:rsid w:val="00F671D1"/>
    <w:rsid w:val="00F776DD"/>
    <w:rsid w:val="00F802B8"/>
    <w:rsid w:val="00F815E7"/>
    <w:rsid w:val="00F82E48"/>
    <w:rsid w:val="00F8437C"/>
    <w:rsid w:val="00F86F90"/>
    <w:rsid w:val="00F920E3"/>
    <w:rsid w:val="00F93261"/>
    <w:rsid w:val="00F95BD2"/>
    <w:rsid w:val="00FA1A12"/>
    <w:rsid w:val="00FA62EF"/>
    <w:rsid w:val="00FB27C7"/>
    <w:rsid w:val="00FB72E1"/>
    <w:rsid w:val="00FC3038"/>
    <w:rsid w:val="00FC6EE8"/>
    <w:rsid w:val="00FD0CC9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497B-A0B0-432E-B745-085BD353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CDM.dot</Template>
  <TotalTime>10</TotalTime>
  <Pages>4</Pages>
  <Words>638</Words>
  <Characters>3638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PCTech</cp:lastModifiedBy>
  <cp:revision>3</cp:revision>
  <cp:lastPrinted>2009-01-27T17:51:00Z</cp:lastPrinted>
  <dcterms:created xsi:type="dcterms:W3CDTF">2014-07-29T14:05:00Z</dcterms:created>
  <dcterms:modified xsi:type="dcterms:W3CDTF">2014-07-29T14:15:00Z</dcterms:modified>
  <cp:category>SDM Template</cp:category>
</cp:coreProperties>
</file>