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3A" w:rsidRPr="00587FA7" w:rsidRDefault="00587FA7" w:rsidP="00587FA7">
      <w:pPr>
        <w:spacing w:after="0" w:line="240" w:lineRule="auto"/>
        <w:rPr>
          <w:rFonts w:ascii="Arial" w:hAnsi="Arial" w:cs="Arial"/>
          <w:b/>
          <w:sz w:val="22"/>
          <w:u w:val="single"/>
        </w:rPr>
      </w:pPr>
      <w:bookmarkStart w:id="0" w:name="_GoBack"/>
      <w:bookmarkEnd w:id="0"/>
      <w:r w:rsidRPr="00587FA7">
        <w:rPr>
          <w:rFonts w:ascii="Arial" w:hAnsi="Arial" w:cs="Arial"/>
          <w:b/>
          <w:sz w:val="22"/>
          <w:u w:val="single"/>
        </w:rPr>
        <w:t>Attendance:</w:t>
      </w:r>
    </w:p>
    <w:p w:rsidR="00587FA7" w:rsidRPr="00587FA7" w:rsidRDefault="00587FA7" w:rsidP="00587FA7">
      <w:pPr>
        <w:spacing w:after="0" w:line="240" w:lineRule="auto"/>
        <w:rPr>
          <w:rFonts w:ascii="Arial" w:hAnsi="Arial" w:cs="Arial"/>
          <w:sz w:val="22"/>
        </w:rPr>
      </w:pPr>
      <w:r w:rsidRPr="00587FA7">
        <w:rPr>
          <w:rFonts w:ascii="Arial" w:hAnsi="Arial" w:cs="Arial"/>
          <w:sz w:val="22"/>
        </w:rPr>
        <w:t>AT&amp;T provided “AT&amp;T Connect” (</w:t>
      </w:r>
      <w:hyperlink r:id="rId8" w:history="1">
        <w:r w:rsidRPr="00587FA7">
          <w:rPr>
            <w:rStyle w:val="Hyperlink"/>
            <w:rFonts w:ascii="Arial" w:hAnsi="Arial" w:cs="Arial"/>
            <w:color w:val="0000FF"/>
            <w:sz w:val="22"/>
          </w:rPr>
          <w:t>https://connect7.uc.att.com/attinc3/meet/?ExEventID=85570882</w:t>
        </w:r>
      </w:hyperlink>
      <w:r w:rsidRPr="00587FA7">
        <w:rPr>
          <w:rFonts w:ascii="Arial" w:hAnsi="Arial" w:cs="Arial"/>
          <w:sz w:val="22"/>
        </w:rPr>
        <w:t xml:space="preserve">) to facilitate the </w:t>
      </w:r>
      <w:proofErr w:type="spellStart"/>
      <w:r w:rsidRPr="00587FA7">
        <w:rPr>
          <w:rFonts w:ascii="Arial" w:hAnsi="Arial" w:cs="Arial"/>
          <w:sz w:val="22"/>
        </w:rPr>
        <w:t>FoN</w:t>
      </w:r>
      <w:proofErr w:type="spellEnd"/>
      <w:r w:rsidRPr="00587FA7">
        <w:rPr>
          <w:rFonts w:ascii="Arial" w:hAnsi="Arial" w:cs="Arial"/>
          <w:sz w:val="22"/>
        </w:rPr>
        <w:t xml:space="preserve"> discussions on a going forward basis. The tri-chairs also hope to use this as a tool to accurately track attendance.</w:t>
      </w:r>
    </w:p>
    <w:p w:rsidR="00587FA7" w:rsidRPr="00587FA7" w:rsidRDefault="00587FA7" w:rsidP="00587FA7">
      <w:pPr>
        <w:spacing w:after="0" w:line="240" w:lineRule="auto"/>
        <w:rPr>
          <w:rFonts w:ascii="Arial" w:hAnsi="Arial" w:cs="Arial"/>
          <w:sz w:val="22"/>
        </w:rPr>
      </w:pPr>
    </w:p>
    <w:p w:rsidR="00587FA7" w:rsidRPr="00587FA7" w:rsidRDefault="00587FA7" w:rsidP="00587FA7">
      <w:pPr>
        <w:spacing w:after="0" w:line="240" w:lineRule="auto"/>
        <w:rPr>
          <w:rFonts w:ascii="Arial" w:hAnsi="Arial" w:cs="Arial"/>
          <w:b/>
          <w:sz w:val="22"/>
          <w:u w:val="single"/>
        </w:rPr>
      </w:pPr>
      <w:proofErr w:type="spellStart"/>
      <w:r w:rsidRPr="00587FA7">
        <w:rPr>
          <w:rFonts w:ascii="Arial" w:hAnsi="Arial" w:cs="Arial"/>
          <w:b/>
          <w:sz w:val="22"/>
          <w:u w:val="single"/>
        </w:rPr>
        <w:t>FoN</w:t>
      </w:r>
      <w:proofErr w:type="spellEnd"/>
      <w:r w:rsidRPr="00587FA7">
        <w:rPr>
          <w:rFonts w:ascii="Arial" w:hAnsi="Arial" w:cs="Arial"/>
          <w:b/>
          <w:sz w:val="22"/>
          <w:u w:val="single"/>
        </w:rPr>
        <w:t xml:space="preserve"> Contact List:</w:t>
      </w:r>
    </w:p>
    <w:p w:rsidR="00587FA7" w:rsidRPr="00587FA7" w:rsidRDefault="00587FA7" w:rsidP="00587FA7">
      <w:pPr>
        <w:spacing w:after="0" w:line="240" w:lineRule="auto"/>
        <w:rPr>
          <w:rFonts w:ascii="Arial" w:hAnsi="Arial" w:cs="Arial"/>
          <w:sz w:val="22"/>
        </w:rPr>
      </w:pPr>
      <w:r w:rsidRPr="00587FA7">
        <w:rPr>
          <w:rFonts w:ascii="Arial" w:hAnsi="Arial" w:cs="Arial"/>
          <w:sz w:val="22"/>
        </w:rPr>
        <w:t xml:space="preserve">The tri-chairs are in the process of updating a </w:t>
      </w:r>
      <w:proofErr w:type="spellStart"/>
      <w:r w:rsidRPr="00587FA7">
        <w:rPr>
          <w:rFonts w:ascii="Arial" w:hAnsi="Arial" w:cs="Arial"/>
          <w:sz w:val="22"/>
        </w:rPr>
        <w:t>FoN</w:t>
      </w:r>
      <w:proofErr w:type="spellEnd"/>
      <w:r w:rsidRPr="00587FA7">
        <w:rPr>
          <w:rFonts w:ascii="Arial" w:hAnsi="Arial" w:cs="Arial"/>
          <w:sz w:val="22"/>
        </w:rPr>
        <w:t xml:space="preserve"> contact list which includes </w:t>
      </w:r>
      <w:r w:rsidR="00CC13BE">
        <w:rPr>
          <w:rFonts w:ascii="Arial" w:hAnsi="Arial" w:cs="Arial"/>
          <w:sz w:val="22"/>
        </w:rPr>
        <w:t xml:space="preserve">each member’s </w:t>
      </w:r>
      <w:r w:rsidRPr="00587FA7">
        <w:rPr>
          <w:rFonts w:ascii="Arial" w:hAnsi="Arial" w:cs="Arial"/>
          <w:sz w:val="22"/>
        </w:rPr>
        <w:t xml:space="preserve">name, company affiliation, e-mail address and telephone number.  </w:t>
      </w:r>
    </w:p>
    <w:p w:rsidR="00587FA7" w:rsidRPr="00587FA7" w:rsidRDefault="00587FA7" w:rsidP="00587FA7">
      <w:pPr>
        <w:spacing w:after="0" w:line="240" w:lineRule="auto"/>
        <w:rPr>
          <w:rFonts w:ascii="Arial" w:hAnsi="Arial" w:cs="Arial"/>
          <w:sz w:val="22"/>
        </w:rPr>
      </w:pPr>
    </w:p>
    <w:p w:rsidR="00587FA7" w:rsidRPr="00587FA7" w:rsidRDefault="00587FA7" w:rsidP="00587FA7">
      <w:pPr>
        <w:spacing w:after="0" w:line="240" w:lineRule="auto"/>
        <w:rPr>
          <w:rFonts w:ascii="Arial" w:hAnsi="Arial" w:cs="Arial"/>
          <w:b/>
          <w:sz w:val="22"/>
          <w:u w:val="single"/>
        </w:rPr>
      </w:pPr>
      <w:r w:rsidRPr="00587FA7">
        <w:rPr>
          <w:rFonts w:ascii="Arial" w:hAnsi="Arial" w:cs="Arial"/>
          <w:b/>
          <w:sz w:val="22"/>
          <w:u w:val="single"/>
        </w:rPr>
        <w:t>Future Meeting Times:</w:t>
      </w:r>
    </w:p>
    <w:p w:rsidR="00587FA7" w:rsidRPr="00587FA7" w:rsidRDefault="00587FA7" w:rsidP="00587FA7">
      <w:pPr>
        <w:spacing w:after="0" w:line="240" w:lineRule="auto"/>
        <w:rPr>
          <w:rFonts w:ascii="Arial" w:hAnsi="Arial" w:cs="Arial"/>
          <w:sz w:val="22"/>
        </w:rPr>
      </w:pPr>
      <w:r w:rsidRPr="00587FA7">
        <w:rPr>
          <w:rFonts w:ascii="Arial" w:hAnsi="Arial" w:cs="Arial"/>
          <w:sz w:val="22"/>
        </w:rPr>
        <w:t xml:space="preserve">No alternate meeting times were suggested so the </w:t>
      </w:r>
      <w:proofErr w:type="spellStart"/>
      <w:r w:rsidRPr="00587FA7">
        <w:rPr>
          <w:rFonts w:ascii="Arial" w:hAnsi="Arial" w:cs="Arial"/>
          <w:sz w:val="22"/>
        </w:rPr>
        <w:t>FoN</w:t>
      </w:r>
      <w:proofErr w:type="spellEnd"/>
      <w:r w:rsidRPr="00587FA7">
        <w:rPr>
          <w:rFonts w:ascii="Arial" w:hAnsi="Arial" w:cs="Arial"/>
          <w:sz w:val="22"/>
        </w:rPr>
        <w:t xml:space="preserve"> will continue to meet the first Wednesday of each month, </w:t>
      </w:r>
      <w:r w:rsidR="00CC13BE">
        <w:rPr>
          <w:rFonts w:ascii="Arial" w:hAnsi="Arial" w:cs="Arial"/>
          <w:sz w:val="22"/>
        </w:rPr>
        <w:t xml:space="preserve">from </w:t>
      </w:r>
      <w:r w:rsidRPr="00587FA7">
        <w:rPr>
          <w:rFonts w:ascii="Arial" w:hAnsi="Arial" w:cs="Arial"/>
          <w:sz w:val="22"/>
        </w:rPr>
        <w:t>11:00-1:00 CT.</w:t>
      </w:r>
    </w:p>
    <w:p w:rsidR="00587FA7" w:rsidRPr="00587FA7" w:rsidRDefault="00587FA7" w:rsidP="00587FA7">
      <w:pPr>
        <w:spacing w:after="0" w:line="240" w:lineRule="auto"/>
        <w:rPr>
          <w:rFonts w:ascii="Arial" w:hAnsi="Arial" w:cs="Arial"/>
          <w:sz w:val="22"/>
        </w:rPr>
      </w:pPr>
    </w:p>
    <w:p w:rsidR="00587FA7" w:rsidRPr="00587FA7" w:rsidRDefault="00587FA7" w:rsidP="00587FA7">
      <w:pPr>
        <w:spacing w:after="0" w:line="240" w:lineRule="auto"/>
        <w:rPr>
          <w:rFonts w:ascii="Arial" w:hAnsi="Arial" w:cs="Arial"/>
          <w:b/>
          <w:sz w:val="22"/>
          <w:u w:val="single"/>
        </w:rPr>
      </w:pPr>
      <w:r w:rsidRPr="00587FA7">
        <w:rPr>
          <w:rFonts w:ascii="Arial" w:hAnsi="Arial" w:cs="Arial"/>
          <w:b/>
          <w:sz w:val="22"/>
          <w:u w:val="single"/>
        </w:rPr>
        <w:t>Review of Forms:</w:t>
      </w:r>
    </w:p>
    <w:p w:rsidR="00587FA7" w:rsidRDefault="00587FA7" w:rsidP="00587FA7">
      <w:pPr>
        <w:spacing w:after="0" w:line="240" w:lineRule="auto"/>
        <w:rPr>
          <w:rFonts w:ascii="Arial" w:hAnsi="Arial" w:cs="Arial"/>
          <w:sz w:val="22"/>
        </w:rPr>
      </w:pPr>
      <w:r w:rsidRPr="00587FA7">
        <w:rPr>
          <w:rFonts w:ascii="Arial" w:hAnsi="Arial" w:cs="Arial"/>
          <w:sz w:val="22"/>
        </w:rPr>
        <w:t xml:space="preserve">Participants reviewed the </w:t>
      </w:r>
      <w:proofErr w:type="spellStart"/>
      <w:r w:rsidRPr="00587FA7">
        <w:rPr>
          <w:rFonts w:ascii="Arial" w:hAnsi="Arial" w:cs="Arial"/>
          <w:sz w:val="22"/>
        </w:rPr>
        <w:t>FoN</w:t>
      </w:r>
      <w:proofErr w:type="spellEnd"/>
      <w:r w:rsidRPr="00587FA7">
        <w:rPr>
          <w:rFonts w:ascii="Arial" w:hAnsi="Arial" w:cs="Arial"/>
          <w:sz w:val="22"/>
        </w:rPr>
        <w:t xml:space="preserve"> mission, scope, target audience, and draft project tracking report referenced in the NANC training binder at: </w:t>
      </w:r>
      <w:hyperlink r:id="rId9" w:history="1">
        <w:r w:rsidRPr="00587FA7">
          <w:rPr>
            <w:rStyle w:val="Hyperlink"/>
            <w:rFonts w:ascii="Arial" w:hAnsi="Arial" w:cs="Arial"/>
            <w:color w:val="0000FF"/>
            <w:sz w:val="22"/>
          </w:rPr>
          <w:t>http://www.nanc-chair.org/docs/principles.html</w:t>
        </w:r>
      </w:hyperlink>
      <w:r w:rsidRPr="00587FA7">
        <w:rPr>
          <w:rFonts w:ascii="Arial" w:hAnsi="Arial" w:cs="Arial"/>
          <w:color w:val="0000FF"/>
          <w:sz w:val="22"/>
        </w:rPr>
        <w:t xml:space="preserve"> </w:t>
      </w:r>
      <w:r w:rsidRPr="00587FA7">
        <w:rPr>
          <w:rFonts w:ascii="Arial" w:hAnsi="Arial" w:cs="Arial"/>
          <w:sz w:val="22"/>
        </w:rPr>
        <w:t xml:space="preserve">(pages 17-18).  </w:t>
      </w:r>
      <w:proofErr w:type="gramStart"/>
      <w:r w:rsidRPr="00587FA7">
        <w:rPr>
          <w:rFonts w:ascii="Arial" w:hAnsi="Arial" w:cs="Arial"/>
          <w:sz w:val="22"/>
        </w:rPr>
        <w:t xml:space="preserve">Also reviewed the </w:t>
      </w:r>
      <w:proofErr w:type="spellStart"/>
      <w:r w:rsidRPr="00587FA7">
        <w:rPr>
          <w:rFonts w:ascii="Arial" w:hAnsi="Arial" w:cs="Arial"/>
          <w:sz w:val="22"/>
        </w:rPr>
        <w:t>FoN</w:t>
      </w:r>
      <w:proofErr w:type="spellEnd"/>
      <w:r w:rsidRPr="00587FA7">
        <w:rPr>
          <w:rFonts w:ascii="Arial" w:hAnsi="Arial" w:cs="Arial"/>
          <w:sz w:val="22"/>
        </w:rPr>
        <w:t xml:space="preserve"> Contribution Form and the numbering scheme (i.e. FTN).</w:t>
      </w:r>
      <w:proofErr w:type="gramEnd"/>
      <w:r w:rsidRPr="00587FA7">
        <w:rPr>
          <w:rFonts w:ascii="Arial" w:hAnsi="Arial" w:cs="Arial"/>
          <w:sz w:val="22"/>
        </w:rPr>
        <w:t xml:space="preserve"> </w:t>
      </w:r>
      <w:r w:rsidR="00BA13DA">
        <w:rPr>
          <w:rFonts w:ascii="Arial" w:hAnsi="Arial" w:cs="Arial"/>
          <w:sz w:val="22"/>
        </w:rPr>
        <w:t xml:space="preserve">Suggestions include: </w:t>
      </w:r>
    </w:p>
    <w:p w:rsidR="00587FA7" w:rsidRPr="00587FA7" w:rsidRDefault="00587FA7" w:rsidP="00587FA7">
      <w:pPr>
        <w:spacing w:after="0" w:line="240" w:lineRule="auto"/>
        <w:rPr>
          <w:rFonts w:ascii="Arial" w:hAnsi="Arial" w:cs="Arial"/>
          <w:sz w:val="22"/>
        </w:rPr>
      </w:pPr>
    </w:p>
    <w:p w:rsidR="00BA13DA" w:rsidRPr="00BA13DA" w:rsidRDefault="00BA13DA" w:rsidP="00BA13DA">
      <w:pPr>
        <w:pStyle w:val="ListParagraph"/>
        <w:numPr>
          <w:ilvl w:val="0"/>
          <w:numId w:val="3"/>
        </w:numPr>
        <w:spacing w:after="0" w:line="240" w:lineRule="auto"/>
        <w:rPr>
          <w:rFonts w:ascii="Arial" w:hAnsi="Arial" w:cs="Arial"/>
          <w:sz w:val="22"/>
        </w:rPr>
      </w:pPr>
      <w:r>
        <w:rPr>
          <w:rFonts w:ascii="Arial" w:hAnsi="Arial" w:cs="Arial"/>
          <w:sz w:val="22"/>
        </w:rPr>
        <w:t>A</w:t>
      </w:r>
      <w:r w:rsidR="00587FA7" w:rsidRPr="00BA13DA">
        <w:rPr>
          <w:rFonts w:ascii="Arial" w:hAnsi="Arial" w:cs="Arial"/>
          <w:sz w:val="22"/>
        </w:rPr>
        <w:t xml:space="preserve">dd an “anticipated completion date” field to the form in order to establish a clear working timeline for the group. </w:t>
      </w:r>
    </w:p>
    <w:p w:rsidR="00587FA7" w:rsidRPr="00587FA7" w:rsidRDefault="00587FA7" w:rsidP="00587FA7">
      <w:pPr>
        <w:spacing w:after="0" w:line="240" w:lineRule="auto"/>
        <w:rPr>
          <w:rFonts w:ascii="Arial" w:hAnsi="Arial" w:cs="Arial"/>
          <w:sz w:val="22"/>
        </w:rPr>
      </w:pPr>
      <w:r w:rsidRPr="00587FA7">
        <w:rPr>
          <w:rFonts w:ascii="Arial" w:hAnsi="Arial" w:cs="Arial"/>
          <w:sz w:val="22"/>
        </w:rPr>
        <w:t xml:space="preserve"> </w:t>
      </w:r>
    </w:p>
    <w:p w:rsidR="00587FA7" w:rsidRPr="00BA13DA" w:rsidRDefault="00BA13DA" w:rsidP="00BA13DA">
      <w:pPr>
        <w:pStyle w:val="ListParagraph"/>
        <w:numPr>
          <w:ilvl w:val="0"/>
          <w:numId w:val="3"/>
        </w:numPr>
        <w:spacing w:after="0" w:line="240" w:lineRule="auto"/>
        <w:rPr>
          <w:rFonts w:ascii="Arial" w:hAnsi="Arial" w:cs="Arial"/>
          <w:sz w:val="22"/>
        </w:rPr>
      </w:pPr>
      <w:r>
        <w:rPr>
          <w:rFonts w:ascii="Arial" w:hAnsi="Arial" w:cs="Arial"/>
          <w:sz w:val="22"/>
        </w:rPr>
        <w:t>K</w:t>
      </w:r>
      <w:r w:rsidR="00587FA7" w:rsidRPr="00BA13DA">
        <w:rPr>
          <w:rFonts w:ascii="Arial" w:hAnsi="Arial" w:cs="Arial"/>
          <w:sz w:val="22"/>
        </w:rPr>
        <w:t xml:space="preserve">eep specific issues referenced separately from </w:t>
      </w:r>
      <w:r>
        <w:rPr>
          <w:rFonts w:ascii="Arial" w:hAnsi="Arial" w:cs="Arial"/>
          <w:sz w:val="22"/>
        </w:rPr>
        <w:t>the</w:t>
      </w:r>
      <w:r w:rsidR="00587FA7" w:rsidRPr="00BA13DA">
        <w:rPr>
          <w:rFonts w:ascii="Arial" w:hAnsi="Arial" w:cs="Arial"/>
          <w:sz w:val="22"/>
        </w:rPr>
        <w:t xml:space="preserve"> broad general topic to help facilitate discussions and eventual closure on these smaller issues.  </w:t>
      </w:r>
    </w:p>
    <w:p w:rsidR="00BA13DA" w:rsidRPr="00587FA7" w:rsidRDefault="00BA13DA" w:rsidP="00587FA7">
      <w:pPr>
        <w:spacing w:after="0" w:line="240" w:lineRule="auto"/>
        <w:rPr>
          <w:rFonts w:ascii="Arial" w:hAnsi="Arial" w:cs="Arial"/>
          <w:sz w:val="22"/>
        </w:rPr>
      </w:pPr>
    </w:p>
    <w:p w:rsidR="00587FA7" w:rsidRPr="00BA13DA" w:rsidRDefault="00BA13DA" w:rsidP="00BA13DA">
      <w:pPr>
        <w:pStyle w:val="ListParagraph"/>
        <w:numPr>
          <w:ilvl w:val="0"/>
          <w:numId w:val="3"/>
        </w:numPr>
        <w:spacing w:after="0" w:line="240" w:lineRule="auto"/>
        <w:rPr>
          <w:rFonts w:ascii="Arial" w:hAnsi="Arial" w:cs="Arial"/>
          <w:sz w:val="22"/>
        </w:rPr>
      </w:pPr>
      <w:r>
        <w:rPr>
          <w:rFonts w:ascii="Arial" w:hAnsi="Arial" w:cs="Arial"/>
          <w:sz w:val="22"/>
        </w:rPr>
        <w:t>C</w:t>
      </w:r>
      <w:r w:rsidR="00587FA7" w:rsidRPr="00BA13DA">
        <w:rPr>
          <w:rFonts w:ascii="Arial" w:hAnsi="Arial" w:cs="Arial"/>
          <w:sz w:val="22"/>
        </w:rPr>
        <w:t xml:space="preserve">ontinue using the current </w:t>
      </w:r>
      <w:proofErr w:type="spellStart"/>
      <w:r w:rsidR="00587FA7" w:rsidRPr="00BA13DA">
        <w:rPr>
          <w:rFonts w:ascii="Arial" w:hAnsi="Arial" w:cs="Arial"/>
          <w:sz w:val="22"/>
        </w:rPr>
        <w:t>FoN</w:t>
      </w:r>
      <w:proofErr w:type="spellEnd"/>
      <w:r w:rsidR="00587FA7" w:rsidRPr="00BA13DA">
        <w:rPr>
          <w:rFonts w:ascii="Arial" w:hAnsi="Arial" w:cs="Arial"/>
          <w:sz w:val="22"/>
        </w:rPr>
        <w:t xml:space="preserve"> Contribution Form to define the original issue and to track overall the status of the FTN.  However, a secondary form could be developed to clearly identify additional contributions made by </w:t>
      </w:r>
      <w:proofErr w:type="spellStart"/>
      <w:r w:rsidR="00587FA7" w:rsidRPr="00BA13DA">
        <w:rPr>
          <w:rFonts w:ascii="Arial" w:hAnsi="Arial" w:cs="Arial"/>
          <w:sz w:val="22"/>
        </w:rPr>
        <w:t>FoN</w:t>
      </w:r>
      <w:proofErr w:type="spellEnd"/>
      <w:r w:rsidR="00587FA7" w:rsidRPr="00BA13DA">
        <w:rPr>
          <w:rFonts w:ascii="Arial" w:hAnsi="Arial" w:cs="Arial"/>
          <w:sz w:val="22"/>
        </w:rPr>
        <w:t xml:space="preserve"> members to develop the solution.  This would allow the </w:t>
      </w:r>
      <w:proofErr w:type="spellStart"/>
      <w:r w:rsidR="00587FA7" w:rsidRPr="00BA13DA">
        <w:rPr>
          <w:rFonts w:ascii="Arial" w:hAnsi="Arial" w:cs="Arial"/>
          <w:sz w:val="22"/>
        </w:rPr>
        <w:t>FoN</w:t>
      </w:r>
      <w:proofErr w:type="spellEnd"/>
      <w:r w:rsidR="00587FA7" w:rsidRPr="00BA13DA">
        <w:rPr>
          <w:rFonts w:ascii="Arial" w:hAnsi="Arial" w:cs="Arial"/>
          <w:sz w:val="22"/>
        </w:rPr>
        <w:t xml:space="preserve"> to efficiently identify and track the work-in-progress for the NANC and to facilitate monthly discussions.   </w:t>
      </w:r>
    </w:p>
    <w:p w:rsidR="00587FA7" w:rsidRPr="00587FA7" w:rsidRDefault="00587FA7" w:rsidP="00587FA7">
      <w:pPr>
        <w:spacing w:after="0" w:line="240" w:lineRule="auto"/>
        <w:rPr>
          <w:rFonts w:ascii="Arial" w:hAnsi="Arial" w:cs="Arial"/>
          <w:sz w:val="22"/>
        </w:rPr>
      </w:pPr>
    </w:p>
    <w:p w:rsidR="00587FA7" w:rsidRPr="00587FA7" w:rsidRDefault="00587FA7" w:rsidP="00587FA7">
      <w:pPr>
        <w:spacing w:after="0" w:line="240" w:lineRule="auto"/>
        <w:rPr>
          <w:rFonts w:ascii="Arial" w:hAnsi="Arial" w:cs="Arial"/>
          <w:b/>
          <w:sz w:val="22"/>
          <w:u w:val="single"/>
        </w:rPr>
      </w:pPr>
      <w:r w:rsidRPr="00587FA7">
        <w:rPr>
          <w:rFonts w:ascii="Arial" w:hAnsi="Arial" w:cs="Arial"/>
          <w:b/>
          <w:sz w:val="22"/>
          <w:u w:val="single"/>
        </w:rPr>
        <w:t xml:space="preserve">Future Topics for the </w:t>
      </w:r>
      <w:proofErr w:type="spellStart"/>
      <w:r w:rsidRPr="00587FA7">
        <w:rPr>
          <w:rFonts w:ascii="Arial" w:hAnsi="Arial" w:cs="Arial"/>
          <w:b/>
          <w:sz w:val="22"/>
          <w:u w:val="single"/>
        </w:rPr>
        <w:t>FoN</w:t>
      </w:r>
      <w:proofErr w:type="spellEnd"/>
      <w:r w:rsidRPr="00587FA7">
        <w:rPr>
          <w:rFonts w:ascii="Arial" w:hAnsi="Arial" w:cs="Arial"/>
          <w:b/>
          <w:sz w:val="22"/>
          <w:u w:val="single"/>
        </w:rPr>
        <w:t xml:space="preserve"> to Con</w:t>
      </w:r>
      <w:r w:rsidR="00CC13BE">
        <w:rPr>
          <w:rFonts w:ascii="Arial" w:hAnsi="Arial" w:cs="Arial"/>
          <w:b/>
          <w:sz w:val="22"/>
          <w:u w:val="single"/>
        </w:rPr>
        <w:t>sider</w:t>
      </w:r>
      <w:r w:rsidR="00CC13BE" w:rsidRPr="00CC13BE">
        <w:rPr>
          <w:rFonts w:ascii="Arial" w:hAnsi="Arial" w:cs="Arial"/>
          <w:b/>
          <w:sz w:val="22"/>
        </w:rPr>
        <w:t>:</w:t>
      </w:r>
    </w:p>
    <w:p w:rsidR="00BA13DA" w:rsidRDefault="00587FA7" w:rsidP="00587FA7">
      <w:pPr>
        <w:spacing w:after="0" w:line="240" w:lineRule="auto"/>
        <w:rPr>
          <w:rFonts w:ascii="Arial" w:hAnsi="Arial" w:cs="Arial"/>
          <w:sz w:val="22"/>
        </w:rPr>
      </w:pPr>
      <w:r w:rsidRPr="00587FA7">
        <w:rPr>
          <w:rFonts w:ascii="Arial" w:hAnsi="Arial" w:cs="Arial"/>
          <w:sz w:val="22"/>
        </w:rPr>
        <w:t>Reviewed a topic list of FCC IP Numbering and NPRM/NOI issues prepared by Mark Lancaster</w:t>
      </w:r>
      <w:r w:rsidR="00BA13DA">
        <w:rPr>
          <w:rFonts w:ascii="Arial" w:hAnsi="Arial" w:cs="Arial"/>
          <w:sz w:val="22"/>
        </w:rPr>
        <w:t xml:space="preserve"> (see attachment 1)</w:t>
      </w:r>
      <w:r w:rsidRPr="00587FA7">
        <w:rPr>
          <w:rFonts w:ascii="Arial" w:hAnsi="Arial" w:cs="Arial"/>
          <w:sz w:val="22"/>
        </w:rPr>
        <w:t xml:space="preserve">, as well as the items suggested by </w:t>
      </w:r>
      <w:r w:rsidR="00CC13BE">
        <w:rPr>
          <w:rFonts w:ascii="Arial" w:hAnsi="Arial" w:cs="Arial"/>
          <w:sz w:val="22"/>
        </w:rPr>
        <w:t xml:space="preserve">other </w:t>
      </w:r>
      <w:proofErr w:type="spellStart"/>
      <w:r w:rsidR="00CC13BE">
        <w:rPr>
          <w:rFonts w:ascii="Arial" w:hAnsi="Arial" w:cs="Arial"/>
          <w:sz w:val="22"/>
        </w:rPr>
        <w:t>FoN</w:t>
      </w:r>
      <w:proofErr w:type="spellEnd"/>
      <w:r w:rsidR="00CC13BE">
        <w:rPr>
          <w:rFonts w:ascii="Arial" w:hAnsi="Arial" w:cs="Arial"/>
          <w:sz w:val="22"/>
        </w:rPr>
        <w:t xml:space="preserve"> </w:t>
      </w:r>
      <w:r w:rsidRPr="00587FA7">
        <w:rPr>
          <w:rFonts w:ascii="Arial" w:hAnsi="Arial" w:cs="Arial"/>
          <w:sz w:val="22"/>
        </w:rPr>
        <w:t xml:space="preserve">members in advance of the meeting (referenced </w:t>
      </w:r>
      <w:r w:rsidR="00AB2479">
        <w:rPr>
          <w:rFonts w:ascii="Arial" w:hAnsi="Arial" w:cs="Arial"/>
          <w:sz w:val="22"/>
        </w:rPr>
        <w:t>i</w:t>
      </w:r>
      <w:r w:rsidRPr="00587FA7">
        <w:rPr>
          <w:rFonts w:ascii="Arial" w:hAnsi="Arial" w:cs="Arial"/>
          <w:sz w:val="22"/>
        </w:rPr>
        <w:t>n no particular order</w:t>
      </w:r>
      <w:r w:rsidR="00AB2479">
        <w:rPr>
          <w:rFonts w:ascii="Arial" w:hAnsi="Arial" w:cs="Arial"/>
          <w:sz w:val="22"/>
        </w:rPr>
        <w:t xml:space="preserve"> below</w:t>
      </w:r>
      <w:r w:rsidRPr="00587FA7">
        <w:rPr>
          <w:rFonts w:ascii="Arial" w:hAnsi="Arial" w:cs="Arial"/>
          <w:sz w:val="22"/>
        </w:rPr>
        <w:t xml:space="preserve">): </w:t>
      </w:r>
    </w:p>
    <w:p w:rsidR="00587FA7" w:rsidRPr="00587FA7" w:rsidRDefault="00587FA7" w:rsidP="00587FA7">
      <w:pPr>
        <w:spacing w:after="0" w:line="240" w:lineRule="auto"/>
        <w:rPr>
          <w:rFonts w:ascii="Arial" w:hAnsi="Arial" w:cs="Arial"/>
          <w:sz w:val="22"/>
        </w:rPr>
      </w:pPr>
      <w:r w:rsidRPr="00587FA7">
        <w:rPr>
          <w:rFonts w:ascii="Arial" w:hAnsi="Arial" w:cs="Arial"/>
          <w:sz w:val="22"/>
        </w:rPr>
        <w:t xml:space="preserve"> </w:t>
      </w:r>
    </w:p>
    <w:p w:rsidR="00587FA7" w:rsidRPr="00587FA7" w:rsidRDefault="00587FA7" w:rsidP="00587FA7">
      <w:pPr>
        <w:pStyle w:val="ListParagraph"/>
        <w:numPr>
          <w:ilvl w:val="0"/>
          <w:numId w:val="1"/>
        </w:numPr>
        <w:spacing w:after="0" w:line="240" w:lineRule="auto"/>
        <w:rPr>
          <w:rFonts w:ascii="Arial" w:hAnsi="Arial" w:cs="Arial"/>
          <w:sz w:val="22"/>
        </w:rPr>
      </w:pPr>
      <w:r w:rsidRPr="00587FA7">
        <w:rPr>
          <w:rFonts w:ascii="Arial" w:hAnsi="Arial" w:cs="Arial"/>
          <w:sz w:val="22"/>
        </w:rPr>
        <w:t xml:space="preserve">The separation of telephone numbers from geography. What extent is technically feasible? Will the separation allow interconnected VoIP providers and most traditional telephone service providers the ability to assign any available telephone number from anywhere in the country to any customer? </w:t>
      </w:r>
    </w:p>
    <w:p w:rsidR="00587FA7" w:rsidRPr="00587FA7" w:rsidRDefault="00587FA7" w:rsidP="00587FA7">
      <w:pPr>
        <w:pStyle w:val="ListParagraph"/>
        <w:numPr>
          <w:ilvl w:val="0"/>
          <w:numId w:val="1"/>
        </w:numPr>
        <w:spacing w:after="0" w:line="240" w:lineRule="auto"/>
        <w:rPr>
          <w:rFonts w:ascii="Arial" w:hAnsi="Arial" w:cs="Arial"/>
          <w:sz w:val="22"/>
        </w:rPr>
      </w:pPr>
      <w:r w:rsidRPr="00587FA7">
        <w:rPr>
          <w:rFonts w:ascii="Arial" w:hAnsi="Arial" w:cs="Arial"/>
          <w:sz w:val="22"/>
        </w:rPr>
        <w:t xml:space="preserve">Should the </w:t>
      </w:r>
      <w:r w:rsidR="00950A81">
        <w:rPr>
          <w:rFonts w:ascii="Arial" w:hAnsi="Arial" w:cs="Arial"/>
          <w:sz w:val="22"/>
        </w:rPr>
        <w:t xml:space="preserve">FCC </w:t>
      </w:r>
      <w:r w:rsidRPr="00587FA7">
        <w:rPr>
          <w:rFonts w:ascii="Arial" w:hAnsi="Arial" w:cs="Arial"/>
          <w:sz w:val="22"/>
        </w:rPr>
        <w:t xml:space="preserve">open new NPAs and create a unified, national numbering regime that would apply equally to all service providers using these nationally available numbers, regardless of the type of service being offered or location? </w:t>
      </w:r>
    </w:p>
    <w:p w:rsidR="00587FA7" w:rsidRPr="00587FA7" w:rsidRDefault="00587FA7" w:rsidP="00587FA7">
      <w:pPr>
        <w:pStyle w:val="ListParagraph"/>
        <w:numPr>
          <w:ilvl w:val="0"/>
          <w:numId w:val="1"/>
        </w:numPr>
        <w:spacing w:after="0" w:line="240" w:lineRule="auto"/>
        <w:rPr>
          <w:rFonts w:ascii="Arial" w:hAnsi="Arial" w:cs="Arial"/>
          <w:sz w:val="22"/>
        </w:rPr>
      </w:pPr>
      <w:r w:rsidRPr="00587FA7">
        <w:rPr>
          <w:rFonts w:ascii="Arial" w:hAnsi="Arial" w:cs="Arial"/>
          <w:sz w:val="22"/>
        </w:rPr>
        <w:t xml:space="preserve">Should the </w:t>
      </w:r>
      <w:r w:rsidR="00950A81">
        <w:rPr>
          <w:rFonts w:ascii="Arial" w:hAnsi="Arial" w:cs="Arial"/>
          <w:sz w:val="22"/>
        </w:rPr>
        <w:t xml:space="preserve">FCC </w:t>
      </w:r>
      <w:r w:rsidRPr="00587FA7">
        <w:rPr>
          <w:rFonts w:ascii="Arial" w:hAnsi="Arial" w:cs="Arial"/>
          <w:sz w:val="22"/>
        </w:rPr>
        <w:t xml:space="preserve">have authority over geographically unrestricted "national" area codes? </w:t>
      </w:r>
    </w:p>
    <w:p w:rsidR="00587FA7" w:rsidRPr="00587FA7" w:rsidRDefault="00587FA7" w:rsidP="00587FA7">
      <w:pPr>
        <w:pStyle w:val="ListParagraph"/>
        <w:numPr>
          <w:ilvl w:val="0"/>
          <w:numId w:val="1"/>
        </w:numPr>
        <w:spacing w:after="0" w:line="240" w:lineRule="auto"/>
        <w:rPr>
          <w:rFonts w:ascii="Arial" w:hAnsi="Arial" w:cs="Arial"/>
          <w:sz w:val="22"/>
        </w:rPr>
      </w:pPr>
      <w:r w:rsidRPr="00587FA7">
        <w:rPr>
          <w:rFonts w:ascii="Arial" w:hAnsi="Arial" w:cs="Arial"/>
          <w:sz w:val="22"/>
        </w:rPr>
        <w:t>Should certain area codes, such as Manhattan’s 212, retain their geographic connection on a grandfathered basis only- maintaining State regulation?</w:t>
      </w:r>
    </w:p>
    <w:p w:rsidR="00587FA7" w:rsidRPr="00587FA7" w:rsidRDefault="00587FA7" w:rsidP="00587FA7">
      <w:pPr>
        <w:pStyle w:val="ListParagraph"/>
        <w:numPr>
          <w:ilvl w:val="0"/>
          <w:numId w:val="1"/>
        </w:numPr>
        <w:spacing w:after="0" w:line="240" w:lineRule="auto"/>
        <w:rPr>
          <w:rFonts w:ascii="Arial" w:hAnsi="Arial" w:cs="Arial"/>
          <w:sz w:val="22"/>
        </w:rPr>
      </w:pPr>
      <w:r w:rsidRPr="00587FA7">
        <w:rPr>
          <w:rFonts w:ascii="Arial" w:hAnsi="Arial" w:cs="Arial"/>
          <w:sz w:val="22"/>
        </w:rPr>
        <w:lastRenderedPageBreak/>
        <w:t xml:space="preserve">Should number block assignments in the 100s be allowed as opposed to full NXXs or 1K blocks? </w:t>
      </w:r>
    </w:p>
    <w:p w:rsidR="00587FA7" w:rsidRPr="00587FA7" w:rsidRDefault="00587FA7" w:rsidP="00587FA7">
      <w:pPr>
        <w:pStyle w:val="ListParagraph"/>
        <w:numPr>
          <w:ilvl w:val="0"/>
          <w:numId w:val="1"/>
        </w:numPr>
        <w:spacing w:after="0" w:line="240" w:lineRule="auto"/>
        <w:rPr>
          <w:rFonts w:ascii="Arial" w:hAnsi="Arial" w:cs="Arial"/>
          <w:sz w:val="22"/>
        </w:rPr>
      </w:pPr>
      <w:r w:rsidRPr="00587FA7">
        <w:rPr>
          <w:rFonts w:ascii="Arial" w:hAnsi="Arial" w:cs="Arial"/>
          <w:sz w:val="22"/>
        </w:rPr>
        <w:t>Should Individual Telephone Number (ITN) assignment practices be allowed?</w:t>
      </w:r>
    </w:p>
    <w:p w:rsidR="00587FA7" w:rsidRPr="00587FA7" w:rsidRDefault="00587FA7" w:rsidP="00587FA7">
      <w:pPr>
        <w:pStyle w:val="ListParagraph"/>
        <w:spacing w:after="0" w:line="240" w:lineRule="auto"/>
        <w:rPr>
          <w:rFonts w:ascii="Arial" w:hAnsi="Arial" w:cs="Arial"/>
          <w:sz w:val="22"/>
        </w:rPr>
      </w:pPr>
    </w:p>
    <w:p w:rsidR="00587FA7" w:rsidRDefault="00587FA7" w:rsidP="00587FA7">
      <w:pPr>
        <w:spacing w:after="0" w:line="240" w:lineRule="auto"/>
        <w:rPr>
          <w:rFonts w:ascii="Arial" w:hAnsi="Arial" w:cs="Arial"/>
          <w:sz w:val="22"/>
        </w:rPr>
      </w:pPr>
      <w:r w:rsidRPr="00587FA7">
        <w:rPr>
          <w:rFonts w:ascii="Arial" w:hAnsi="Arial" w:cs="Arial"/>
          <w:sz w:val="22"/>
        </w:rPr>
        <w:t xml:space="preserve">Additional suggestion made to develop principles that would guide future </w:t>
      </w:r>
      <w:proofErr w:type="spellStart"/>
      <w:r w:rsidRPr="00587FA7">
        <w:rPr>
          <w:rFonts w:ascii="Arial" w:hAnsi="Arial" w:cs="Arial"/>
          <w:sz w:val="22"/>
        </w:rPr>
        <w:t>FoN</w:t>
      </w:r>
      <w:proofErr w:type="spellEnd"/>
      <w:r w:rsidRPr="00587FA7">
        <w:rPr>
          <w:rFonts w:ascii="Arial" w:hAnsi="Arial" w:cs="Arial"/>
          <w:sz w:val="22"/>
        </w:rPr>
        <w:t xml:space="preserve"> discussions and provide a framework for evaluating issues.  </w:t>
      </w:r>
    </w:p>
    <w:p w:rsidR="00587FA7" w:rsidRPr="00587FA7" w:rsidRDefault="00587FA7" w:rsidP="00587FA7">
      <w:pPr>
        <w:spacing w:after="0" w:line="240" w:lineRule="auto"/>
        <w:rPr>
          <w:rFonts w:ascii="Arial" w:hAnsi="Arial" w:cs="Arial"/>
          <w:sz w:val="22"/>
        </w:rPr>
      </w:pPr>
    </w:p>
    <w:p w:rsidR="00587FA7" w:rsidRDefault="00587FA7" w:rsidP="00587FA7">
      <w:pPr>
        <w:spacing w:after="0" w:line="240" w:lineRule="auto"/>
        <w:rPr>
          <w:rFonts w:ascii="Arial" w:hAnsi="Arial" w:cs="Arial"/>
          <w:sz w:val="22"/>
        </w:rPr>
      </w:pPr>
      <w:proofErr w:type="gramStart"/>
      <w:r w:rsidRPr="00587FA7">
        <w:rPr>
          <w:rFonts w:ascii="Arial" w:hAnsi="Arial" w:cs="Arial"/>
          <w:sz w:val="22"/>
        </w:rPr>
        <w:t>Additional suggestion to explore whether numbers will still be necessary once the PSTN is no longer in use.</w:t>
      </w:r>
      <w:proofErr w:type="gramEnd"/>
      <w:r w:rsidRPr="00587FA7">
        <w:rPr>
          <w:rFonts w:ascii="Arial" w:hAnsi="Arial" w:cs="Arial"/>
          <w:sz w:val="22"/>
        </w:rPr>
        <w:t xml:space="preserve">  One member noted that the subject was interesting but too general</w:t>
      </w:r>
      <w:r w:rsidR="00BA13DA">
        <w:rPr>
          <w:rFonts w:ascii="Arial" w:hAnsi="Arial" w:cs="Arial"/>
          <w:sz w:val="22"/>
        </w:rPr>
        <w:t xml:space="preserve">.  The </w:t>
      </w:r>
      <w:r w:rsidRPr="00587FA7">
        <w:rPr>
          <w:rFonts w:ascii="Arial" w:hAnsi="Arial" w:cs="Arial"/>
          <w:sz w:val="22"/>
        </w:rPr>
        <w:t xml:space="preserve">scope of </w:t>
      </w:r>
      <w:r w:rsidR="00BA13DA">
        <w:rPr>
          <w:rFonts w:ascii="Arial" w:hAnsi="Arial" w:cs="Arial"/>
          <w:sz w:val="22"/>
        </w:rPr>
        <w:t xml:space="preserve">this suggested </w:t>
      </w:r>
      <w:r w:rsidRPr="00587FA7">
        <w:rPr>
          <w:rFonts w:ascii="Arial" w:hAnsi="Arial" w:cs="Arial"/>
          <w:sz w:val="22"/>
        </w:rPr>
        <w:t xml:space="preserve">issue </w:t>
      </w:r>
      <w:r w:rsidR="00BA13DA">
        <w:rPr>
          <w:rFonts w:ascii="Arial" w:hAnsi="Arial" w:cs="Arial"/>
          <w:sz w:val="22"/>
        </w:rPr>
        <w:t xml:space="preserve">should </w:t>
      </w:r>
      <w:r w:rsidRPr="00587FA7">
        <w:rPr>
          <w:rFonts w:ascii="Arial" w:hAnsi="Arial" w:cs="Arial"/>
          <w:sz w:val="22"/>
        </w:rPr>
        <w:t xml:space="preserve">be defined and submitted via a </w:t>
      </w:r>
      <w:proofErr w:type="spellStart"/>
      <w:r w:rsidRPr="00587FA7">
        <w:rPr>
          <w:rFonts w:ascii="Arial" w:hAnsi="Arial" w:cs="Arial"/>
          <w:sz w:val="22"/>
        </w:rPr>
        <w:t>FoN</w:t>
      </w:r>
      <w:proofErr w:type="spellEnd"/>
      <w:r w:rsidRPr="00587FA7">
        <w:rPr>
          <w:rFonts w:ascii="Arial" w:hAnsi="Arial" w:cs="Arial"/>
          <w:sz w:val="22"/>
        </w:rPr>
        <w:t xml:space="preserve"> Contribution Form for consideration.  </w:t>
      </w:r>
    </w:p>
    <w:p w:rsidR="00587FA7" w:rsidRPr="00587FA7" w:rsidRDefault="00587FA7" w:rsidP="00587FA7">
      <w:pPr>
        <w:spacing w:after="0" w:line="240" w:lineRule="auto"/>
        <w:rPr>
          <w:rFonts w:ascii="Arial" w:hAnsi="Arial" w:cs="Arial"/>
          <w:sz w:val="22"/>
        </w:rPr>
      </w:pPr>
      <w:r w:rsidRPr="00587FA7">
        <w:rPr>
          <w:rFonts w:ascii="Arial" w:hAnsi="Arial" w:cs="Arial"/>
          <w:sz w:val="22"/>
        </w:rPr>
        <w:t xml:space="preserve"> </w:t>
      </w:r>
    </w:p>
    <w:p w:rsidR="00587FA7" w:rsidRPr="00587FA7" w:rsidRDefault="00587FA7" w:rsidP="00587FA7">
      <w:pPr>
        <w:spacing w:after="0" w:line="240" w:lineRule="auto"/>
        <w:rPr>
          <w:rFonts w:ascii="Arial" w:hAnsi="Arial" w:cs="Arial"/>
          <w:sz w:val="22"/>
        </w:rPr>
      </w:pPr>
      <w:r w:rsidRPr="00587FA7">
        <w:rPr>
          <w:rFonts w:ascii="Arial" w:hAnsi="Arial" w:cs="Arial"/>
          <w:b/>
          <w:sz w:val="22"/>
          <w:u w:val="single"/>
        </w:rPr>
        <w:t>Follow-up Items</w:t>
      </w:r>
      <w:r w:rsidRPr="00587FA7">
        <w:rPr>
          <w:rFonts w:ascii="Arial" w:hAnsi="Arial" w:cs="Arial"/>
          <w:sz w:val="22"/>
        </w:rPr>
        <w:t xml:space="preserve">: </w:t>
      </w:r>
    </w:p>
    <w:p w:rsidR="00587FA7" w:rsidRPr="00587FA7" w:rsidRDefault="00587FA7" w:rsidP="00587FA7">
      <w:pPr>
        <w:pStyle w:val="ListParagraph"/>
        <w:numPr>
          <w:ilvl w:val="0"/>
          <w:numId w:val="2"/>
        </w:numPr>
        <w:spacing w:after="0" w:line="240" w:lineRule="auto"/>
        <w:rPr>
          <w:rFonts w:ascii="Arial" w:hAnsi="Arial" w:cs="Arial"/>
          <w:sz w:val="22"/>
        </w:rPr>
      </w:pPr>
      <w:r w:rsidRPr="00587FA7">
        <w:rPr>
          <w:rFonts w:ascii="Arial" w:hAnsi="Arial" w:cs="Arial"/>
          <w:sz w:val="22"/>
        </w:rPr>
        <w:t xml:space="preserve">For those participants that called into the bridge without logging into AT&amp;T Connect, please e-mail Kathy Bakke so the attendance list for the August meeting can be updated.   </w:t>
      </w:r>
    </w:p>
    <w:p w:rsidR="00587FA7" w:rsidRPr="00587FA7" w:rsidRDefault="00587FA7" w:rsidP="00587FA7">
      <w:pPr>
        <w:pStyle w:val="ListParagraph"/>
        <w:numPr>
          <w:ilvl w:val="0"/>
          <w:numId w:val="2"/>
        </w:numPr>
        <w:spacing w:after="0" w:line="240" w:lineRule="auto"/>
        <w:rPr>
          <w:rFonts w:ascii="Arial" w:hAnsi="Arial" w:cs="Arial"/>
          <w:sz w:val="22"/>
        </w:rPr>
      </w:pPr>
      <w:r w:rsidRPr="00587FA7">
        <w:rPr>
          <w:rFonts w:ascii="Arial" w:hAnsi="Arial" w:cs="Arial"/>
          <w:sz w:val="22"/>
        </w:rPr>
        <w:t>If you have not done so already, please send your contact information to Kathy Bakke at your earliest convenience.</w:t>
      </w:r>
    </w:p>
    <w:p w:rsidR="00590E48" w:rsidRDefault="00AB2479" w:rsidP="00EE47CB">
      <w:pPr>
        <w:pStyle w:val="ListParagraph"/>
        <w:numPr>
          <w:ilvl w:val="0"/>
          <w:numId w:val="2"/>
        </w:numPr>
        <w:spacing w:after="0" w:line="240" w:lineRule="auto"/>
        <w:rPr>
          <w:rFonts w:ascii="Arial" w:hAnsi="Arial" w:cs="Arial"/>
          <w:sz w:val="22"/>
        </w:rPr>
      </w:pPr>
      <w:r>
        <w:rPr>
          <w:rFonts w:ascii="Arial" w:hAnsi="Arial" w:cs="Arial"/>
          <w:sz w:val="22"/>
        </w:rPr>
        <w:t>The September a</w:t>
      </w:r>
      <w:r w:rsidR="00590E48">
        <w:rPr>
          <w:rFonts w:ascii="Arial" w:hAnsi="Arial" w:cs="Arial"/>
          <w:sz w:val="22"/>
        </w:rPr>
        <w:t xml:space="preserve">genda and modified </w:t>
      </w:r>
      <w:r>
        <w:rPr>
          <w:rFonts w:ascii="Arial" w:hAnsi="Arial" w:cs="Arial"/>
          <w:sz w:val="22"/>
        </w:rPr>
        <w:t xml:space="preserve">contribution </w:t>
      </w:r>
      <w:r w:rsidR="00590E48">
        <w:rPr>
          <w:rFonts w:ascii="Arial" w:hAnsi="Arial" w:cs="Arial"/>
          <w:sz w:val="22"/>
        </w:rPr>
        <w:t>forms will be distributed to the group by Tuesday</w:t>
      </w:r>
      <w:r w:rsidR="00BD0BC9">
        <w:rPr>
          <w:rFonts w:ascii="Arial" w:hAnsi="Arial" w:cs="Arial"/>
          <w:sz w:val="22"/>
        </w:rPr>
        <w:t>, September</w:t>
      </w:r>
      <w:r w:rsidR="00590E48">
        <w:rPr>
          <w:rFonts w:ascii="Arial" w:hAnsi="Arial" w:cs="Arial"/>
          <w:sz w:val="22"/>
        </w:rPr>
        <w:t xml:space="preserve"> 3</w:t>
      </w:r>
      <w:r w:rsidR="00590E48" w:rsidRPr="00590E48">
        <w:rPr>
          <w:rFonts w:ascii="Arial" w:hAnsi="Arial" w:cs="Arial"/>
          <w:sz w:val="22"/>
          <w:vertAlign w:val="superscript"/>
        </w:rPr>
        <w:t>rd</w:t>
      </w:r>
      <w:r w:rsidR="00590E48">
        <w:rPr>
          <w:rFonts w:ascii="Arial" w:hAnsi="Arial" w:cs="Arial"/>
          <w:sz w:val="22"/>
        </w:rPr>
        <w:t xml:space="preserve">. </w:t>
      </w:r>
    </w:p>
    <w:p w:rsidR="00AB2479" w:rsidRDefault="00AB2479" w:rsidP="00AB2479">
      <w:pPr>
        <w:pStyle w:val="ListParagraph"/>
        <w:numPr>
          <w:ilvl w:val="0"/>
          <w:numId w:val="2"/>
        </w:numPr>
        <w:spacing w:after="0" w:line="240" w:lineRule="auto"/>
        <w:rPr>
          <w:rFonts w:ascii="Arial" w:hAnsi="Arial" w:cs="Arial"/>
          <w:sz w:val="22"/>
        </w:rPr>
      </w:pPr>
      <w:r>
        <w:rPr>
          <w:rFonts w:ascii="Arial" w:hAnsi="Arial" w:cs="Arial"/>
          <w:sz w:val="22"/>
        </w:rPr>
        <w:t>The m</w:t>
      </w:r>
      <w:r w:rsidRPr="00590E48">
        <w:rPr>
          <w:rFonts w:ascii="Arial" w:hAnsi="Arial" w:cs="Arial"/>
          <w:sz w:val="22"/>
        </w:rPr>
        <w:t>odified forms and process will be discussed during the September 4</w:t>
      </w:r>
      <w:r w:rsidRPr="00590E48">
        <w:rPr>
          <w:rFonts w:ascii="Arial" w:hAnsi="Arial" w:cs="Arial"/>
          <w:sz w:val="22"/>
          <w:vertAlign w:val="superscript"/>
        </w:rPr>
        <w:t>th</w:t>
      </w:r>
      <w:r w:rsidRPr="00590E48">
        <w:rPr>
          <w:rFonts w:ascii="Arial" w:hAnsi="Arial" w:cs="Arial"/>
          <w:sz w:val="22"/>
        </w:rPr>
        <w:t xml:space="preserve"> meeting. </w:t>
      </w:r>
    </w:p>
    <w:p w:rsidR="00AB2479" w:rsidRDefault="00AB2479" w:rsidP="00AB2479">
      <w:pPr>
        <w:pStyle w:val="ListParagraph"/>
        <w:spacing w:after="0" w:line="240" w:lineRule="auto"/>
        <w:rPr>
          <w:rFonts w:ascii="Arial" w:hAnsi="Arial" w:cs="Arial"/>
          <w:sz w:val="22"/>
        </w:rPr>
      </w:pPr>
    </w:p>
    <w:p w:rsidR="00590E48" w:rsidRPr="00590E48" w:rsidRDefault="00590E48" w:rsidP="00590E48">
      <w:pPr>
        <w:spacing w:after="0" w:line="240" w:lineRule="auto"/>
        <w:rPr>
          <w:rFonts w:ascii="Arial" w:hAnsi="Arial" w:cs="Arial"/>
          <w:sz w:val="22"/>
        </w:rPr>
      </w:pPr>
    </w:p>
    <w:p w:rsidR="00590E48" w:rsidRDefault="00590E48" w:rsidP="00587FA7">
      <w:pPr>
        <w:spacing w:after="0" w:line="240" w:lineRule="auto"/>
        <w:rPr>
          <w:rFonts w:ascii="Arial" w:hAnsi="Arial" w:cs="Arial"/>
          <w:b/>
          <w:sz w:val="22"/>
          <w:u w:val="single"/>
        </w:rPr>
      </w:pPr>
    </w:p>
    <w:p w:rsidR="00587FA7" w:rsidRPr="00587FA7" w:rsidRDefault="00587FA7" w:rsidP="00587FA7">
      <w:pPr>
        <w:spacing w:after="0" w:line="240" w:lineRule="auto"/>
        <w:rPr>
          <w:rFonts w:ascii="Arial" w:hAnsi="Arial" w:cs="Arial"/>
          <w:sz w:val="22"/>
        </w:rPr>
      </w:pPr>
      <w:r w:rsidRPr="00587FA7">
        <w:rPr>
          <w:rFonts w:ascii="Arial" w:hAnsi="Arial" w:cs="Arial"/>
          <w:b/>
          <w:sz w:val="22"/>
          <w:u w:val="single"/>
        </w:rPr>
        <w:t>Next Meeting</w:t>
      </w:r>
      <w:r w:rsidRPr="00587FA7">
        <w:rPr>
          <w:rFonts w:ascii="Arial" w:hAnsi="Arial" w:cs="Arial"/>
          <w:sz w:val="22"/>
        </w:rPr>
        <w:t>:</w:t>
      </w:r>
    </w:p>
    <w:p w:rsidR="00587FA7" w:rsidRPr="00587FA7" w:rsidRDefault="00587FA7" w:rsidP="00587FA7">
      <w:pPr>
        <w:spacing w:after="0" w:line="240" w:lineRule="auto"/>
        <w:rPr>
          <w:rFonts w:ascii="Arial" w:hAnsi="Arial" w:cs="Arial"/>
          <w:sz w:val="22"/>
        </w:rPr>
      </w:pPr>
      <w:r w:rsidRPr="00587FA7">
        <w:rPr>
          <w:rFonts w:ascii="Arial" w:hAnsi="Arial" w:cs="Arial"/>
          <w:b/>
          <w:sz w:val="22"/>
        </w:rPr>
        <w:t>Date</w:t>
      </w:r>
      <w:r w:rsidRPr="00587FA7">
        <w:rPr>
          <w:rFonts w:ascii="Arial" w:hAnsi="Arial" w:cs="Arial"/>
          <w:sz w:val="22"/>
        </w:rPr>
        <w:t>: September 4, 2013</w:t>
      </w:r>
    </w:p>
    <w:p w:rsidR="00587FA7" w:rsidRPr="00587FA7" w:rsidRDefault="00587FA7" w:rsidP="00587FA7">
      <w:pPr>
        <w:spacing w:after="0" w:line="240" w:lineRule="auto"/>
        <w:rPr>
          <w:rFonts w:ascii="Arial" w:hAnsi="Arial" w:cs="Arial"/>
          <w:sz w:val="22"/>
        </w:rPr>
      </w:pPr>
      <w:r w:rsidRPr="00587FA7">
        <w:rPr>
          <w:rFonts w:ascii="Arial" w:hAnsi="Arial" w:cs="Arial"/>
          <w:b/>
          <w:sz w:val="22"/>
        </w:rPr>
        <w:t>Start Time</w:t>
      </w:r>
      <w:r w:rsidRPr="00587FA7">
        <w:rPr>
          <w:rFonts w:ascii="Arial" w:hAnsi="Arial" w:cs="Arial"/>
          <w:sz w:val="22"/>
        </w:rPr>
        <w:t xml:space="preserve">: 12:00 ET/11:00 CT/10:00 MT/9:00 PT </w:t>
      </w:r>
    </w:p>
    <w:p w:rsidR="00587FA7" w:rsidRDefault="00587FA7" w:rsidP="00587FA7">
      <w:pPr>
        <w:spacing w:after="0" w:line="240" w:lineRule="auto"/>
        <w:rPr>
          <w:rFonts w:ascii="Arial" w:hAnsi="Arial" w:cs="Arial"/>
          <w:sz w:val="22"/>
        </w:rPr>
      </w:pPr>
      <w:r w:rsidRPr="00587FA7">
        <w:rPr>
          <w:rFonts w:ascii="Arial" w:hAnsi="Arial" w:cs="Arial"/>
          <w:b/>
          <w:sz w:val="22"/>
        </w:rPr>
        <w:t>Duration</w:t>
      </w:r>
      <w:r w:rsidRPr="00587FA7">
        <w:rPr>
          <w:rFonts w:ascii="Arial" w:hAnsi="Arial" w:cs="Arial"/>
          <w:sz w:val="22"/>
        </w:rPr>
        <w:t xml:space="preserve">: </w:t>
      </w:r>
      <w:r w:rsidR="00172C21">
        <w:rPr>
          <w:rFonts w:ascii="Arial" w:hAnsi="Arial" w:cs="Arial"/>
          <w:sz w:val="22"/>
        </w:rPr>
        <w:t>1.5</w:t>
      </w:r>
      <w:r w:rsidRPr="00587FA7">
        <w:rPr>
          <w:rFonts w:ascii="Arial" w:hAnsi="Arial" w:cs="Arial"/>
          <w:sz w:val="22"/>
        </w:rPr>
        <w:t xml:space="preserve"> hours</w:t>
      </w: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FD24B2" w:rsidRDefault="00FD24B2" w:rsidP="00587FA7">
      <w:pPr>
        <w:spacing w:after="0" w:line="240" w:lineRule="auto"/>
        <w:rPr>
          <w:rFonts w:ascii="Arial" w:hAnsi="Arial" w:cs="Arial"/>
          <w:sz w:val="22"/>
        </w:rPr>
      </w:pPr>
    </w:p>
    <w:p w:rsidR="00950A81" w:rsidRDefault="00950A81" w:rsidP="00FD24B2">
      <w:pPr>
        <w:spacing w:after="0" w:line="240" w:lineRule="auto"/>
        <w:jc w:val="right"/>
        <w:rPr>
          <w:rFonts w:ascii="Arial" w:hAnsi="Arial" w:cs="Arial"/>
          <w:b/>
          <w:sz w:val="22"/>
        </w:rPr>
      </w:pPr>
    </w:p>
    <w:p w:rsidR="00950A81" w:rsidRDefault="00950A81" w:rsidP="00FD24B2">
      <w:pPr>
        <w:spacing w:after="0" w:line="240" w:lineRule="auto"/>
        <w:jc w:val="right"/>
        <w:rPr>
          <w:rFonts w:ascii="Arial" w:hAnsi="Arial" w:cs="Arial"/>
          <w:b/>
          <w:sz w:val="22"/>
        </w:rPr>
      </w:pPr>
    </w:p>
    <w:p w:rsidR="00FD24B2" w:rsidRPr="00FD24B2" w:rsidRDefault="00FD24B2" w:rsidP="00FD24B2">
      <w:pPr>
        <w:spacing w:after="0" w:line="240" w:lineRule="auto"/>
        <w:jc w:val="right"/>
        <w:rPr>
          <w:rFonts w:ascii="Arial" w:hAnsi="Arial" w:cs="Arial"/>
          <w:b/>
          <w:sz w:val="22"/>
        </w:rPr>
      </w:pPr>
      <w:r w:rsidRPr="00FD24B2">
        <w:rPr>
          <w:rFonts w:ascii="Arial" w:hAnsi="Arial" w:cs="Arial"/>
          <w:b/>
          <w:sz w:val="22"/>
        </w:rPr>
        <w:lastRenderedPageBreak/>
        <w:t>Attachment 1</w:t>
      </w:r>
    </w:p>
    <w:p w:rsidR="00FD24B2" w:rsidRPr="00FD24B2" w:rsidRDefault="00FD24B2" w:rsidP="00FD24B2">
      <w:pPr>
        <w:spacing w:after="0" w:line="240" w:lineRule="auto"/>
        <w:jc w:val="right"/>
        <w:rPr>
          <w:rFonts w:ascii="Arial" w:hAnsi="Arial" w:cs="Arial"/>
          <w:sz w:val="22"/>
        </w:rPr>
      </w:pPr>
      <w:r w:rsidRPr="00FD24B2">
        <w:rPr>
          <w:rFonts w:ascii="Arial" w:hAnsi="Arial" w:cs="Arial"/>
          <w:sz w:val="22"/>
        </w:rPr>
        <w:t>Source: Mark Lancaster</w:t>
      </w:r>
    </w:p>
    <w:p w:rsidR="00FD24B2" w:rsidRPr="00FD24B2" w:rsidRDefault="00FD24B2" w:rsidP="00FD24B2">
      <w:pPr>
        <w:spacing w:after="0"/>
        <w:jc w:val="center"/>
        <w:rPr>
          <w:rFonts w:ascii="Arial" w:hAnsi="Arial" w:cs="Arial"/>
          <w:b/>
          <w:sz w:val="22"/>
        </w:rPr>
      </w:pPr>
      <w:r w:rsidRPr="00FD24B2">
        <w:rPr>
          <w:rFonts w:ascii="Arial" w:hAnsi="Arial" w:cs="Arial"/>
          <w:b/>
          <w:sz w:val="22"/>
        </w:rPr>
        <w:t>FCC IP Numbering NPRM and NOI Topic List</w:t>
      </w:r>
    </w:p>
    <w:tbl>
      <w:tblPr>
        <w:tblStyle w:val="TableGrid"/>
        <w:tblW w:w="5000" w:type="pct"/>
        <w:tblLook w:val="04A0" w:firstRow="1" w:lastRow="0" w:firstColumn="1" w:lastColumn="0" w:noHBand="0" w:noVBand="1"/>
      </w:tblPr>
      <w:tblGrid>
        <w:gridCol w:w="827"/>
        <w:gridCol w:w="8749"/>
      </w:tblGrid>
      <w:tr w:rsidR="00FD24B2" w:rsidRPr="00FD24B2" w:rsidTr="00FD24B2">
        <w:trPr>
          <w:tblHeader/>
        </w:trPr>
        <w:tc>
          <w:tcPr>
            <w:tcW w:w="432" w:type="pct"/>
          </w:tcPr>
          <w:p w:rsidR="00FD24B2" w:rsidRPr="00FD24B2" w:rsidRDefault="00FD24B2" w:rsidP="00FD24B2">
            <w:pPr>
              <w:rPr>
                <w:rFonts w:ascii="Arial" w:hAnsi="Arial" w:cs="Arial"/>
                <w:b/>
                <w:szCs w:val="24"/>
              </w:rPr>
            </w:pPr>
            <w:r w:rsidRPr="00FD24B2">
              <w:rPr>
                <w:rFonts w:ascii="Arial" w:hAnsi="Arial" w:cs="Arial"/>
                <w:b/>
                <w:szCs w:val="24"/>
              </w:rPr>
              <w:t>Para</w:t>
            </w:r>
          </w:p>
        </w:tc>
        <w:tc>
          <w:tcPr>
            <w:tcW w:w="4568" w:type="pct"/>
          </w:tcPr>
          <w:p w:rsidR="00FD24B2" w:rsidRPr="00FD24B2" w:rsidRDefault="00FD24B2" w:rsidP="00FD24B2">
            <w:pPr>
              <w:rPr>
                <w:rFonts w:ascii="Arial" w:hAnsi="Arial" w:cs="Arial"/>
                <w:b/>
                <w:szCs w:val="24"/>
              </w:rPr>
            </w:pPr>
            <w:r w:rsidRPr="00FD24B2">
              <w:rPr>
                <w:rFonts w:ascii="Arial" w:hAnsi="Arial" w:cs="Arial"/>
                <w:b/>
                <w:szCs w:val="24"/>
              </w:rPr>
              <w:t>Comment</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20</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Alternative Certification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21</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Service Areas </w:t>
            </w:r>
          </w:p>
          <w:p w:rsidR="00FD24B2" w:rsidRPr="00FD24B2" w:rsidRDefault="00FD24B2" w:rsidP="00B628C1">
            <w:pPr>
              <w:rPr>
                <w:rFonts w:ascii="Arial" w:hAnsi="Arial" w:cs="Arial"/>
                <w:sz w:val="22"/>
              </w:rPr>
            </w:pPr>
            <w:r w:rsidRPr="00FD24B2">
              <w:rPr>
                <w:rFonts w:ascii="Arial" w:hAnsi="Arial" w:cs="Arial"/>
                <w:sz w:val="22"/>
              </w:rPr>
              <w:t xml:space="preserve">Form 477 </w:t>
            </w:r>
          </w:p>
          <w:p w:rsidR="00FD24B2" w:rsidRPr="00FD24B2" w:rsidRDefault="00FD24B2" w:rsidP="00B628C1">
            <w:pPr>
              <w:rPr>
                <w:rFonts w:ascii="Arial" w:hAnsi="Arial" w:cs="Arial"/>
                <w:sz w:val="22"/>
              </w:rPr>
            </w:pPr>
            <w:r w:rsidRPr="00FD24B2">
              <w:rPr>
                <w:rFonts w:ascii="Arial" w:hAnsi="Arial" w:cs="Arial"/>
                <w:sz w:val="22"/>
              </w:rPr>
              <w:t xml:space="preserve">Nomadic vs. Fixed VoIP Certification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22</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Utilization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23</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Intermediate Numbers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26</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Pooling Area Number Assignment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27</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VoIP from Specified Rate Centers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28</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Local-only Routing to VoIP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29</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Facilities Readiness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30</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Traffic Exchange Agreement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31</w:t>
            </w:r>
          </w:p>
        </w:tc>
        <w:tc>
          <w:tcPr>
            <w:tcW w:w="4568" w:type="pct"/>
          </w:tcPr>
          <w:p w:rsidR="00FD24B2" w:rsidRPr="00FD24B2" w:rsidRDefault="00FD24B2" w:rsidP="00B628C1">
            <w:pPr>
              <w:rPr>
                <w:rFonts w:ascii="Arial" w:hAnsi="Arial" w:cs="Arial"/>
                <w:sz w:val="22"/>
              </w:rPr>
            </w:pPr>
            <w:r w:rsidRPr="00FD24B2">
              <w:rPr>
                <w:rFonts w:ascii="Arial" w:hAnsi="Arial" w:cs="Arial"/>
                <w:sz w:val="22"/>
              </w:rPr>
              <w:t>30 Day Pre</w:t>
            </w:r>
            <w:r>
              <w:rPr>
                <w:rFonts w:ascii="Arial" w:hAnsi="Arial" w:cs="Arial"/>
                <w:sz w:val="22"/>
              </w:rPr>
              <w:t>-</w:t>
            </w:r>
            <w:r w:rsidRPr="00FD24B2">
              <w:rPr>
                <w:rFonts w:ascii="Arial" w:hAnsi="Arial" w:cs="Arial"/>
                <w:sz w:val="22"/>
              </w:rPr>
              <w:t xml:space="preserve">filing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32</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Numbering Commitments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34</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State Oversight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35</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CLEC Migration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36-38</w:t>
            </w:r>
          </w:p>
        </w:tc>
        <w:tc>
          <w:tcPr>
            <w:tcW w:w="4568" w:type="pct"/>
          </w:tcPr>
          <w:p w:rsidR="00FD24B2" w:rsidRPr="00FD24B2" w:rsidRDefault="00FD24B2" w:rsidP="00FD24B2">
            <w:pPr>
              <w:rPr>
                <w:rFonts w:ascii="Arial" w:hAnsi="Arial" w:cs="Arial"/>
                <w:sz w:val="22"/>
              </w:rPr>
            </w:pPr>
            <w:r w:rsidRPr="00FD24B2">
              <w:rPr>
                <w:rFonts w:ascii="Arial" w:hAnsi="Arial" w:cs="Arial"/>
                <w:sz w:val="22"/>
              </w:rPr>
              <w:t xml:space="preserve">Blanket Certification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39</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Red Light Rule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44</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Routing/Tracking </w:t>
            </w:r>
          </w:p>
          <w:p w:rsidR="00FD24B2" w:rsidRPr="00FD24B2" w:rsidRDefault="00FD24B2" w:rsidP="00B628C1">
            <w:pPr>
              <w:rPr>
                <w:rFonts w:ascii="Arial" w:hAnsi="Arial" w:cs="Arial"/>
                <w:sz w:val="22"/>
              </w:rPr>
            </w:pPr>
            <w:r w:rsidRPr="00FD24B2">
              <w:rPr>
                <w:rFonts w:ascii="Arial" w:hAnsi="Arial" w:cs="Arial"/>
                <w:sz w:val="22"/>
              </w:rPr>
              <w:t xml:space="preserve">IP Interconnection Agreement (IPA)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45</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Database Modifications </w:t>
            </w:r>
          </w:p>
          <w:p w:rsidR="00FD24B2" w:rsidRPr="00FD24B2" w:rsidRDefault="00FD24B2" w:rsidP="00B628C1">
            <w:pPr>
              <w:rPr>
                <w:rFonts w:ascii="Arial" w:hAnsi="Arial" w:cs="Arial"/>
                <w:sz w:val="22"/>
              </w:rPr>
            </w:pPr>
            <w:r w:rsidRPr="00FD24B2">
              <w:rPr>
                <w:rFonts w:ascii="Arial" w:hAnsi="Arial" w:cs="Arial"/>
                <w:sz w:val="22"/>
              </w:rPr>
              <w:t xml:space="preserve">NPAC Uses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46</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Database Transition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50-51</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Transition Traffic Compensation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52</w:t>
            </w:r>
          </w:p>
        </w:tc>
        <w:tc>
          <w:tcPr>
            <w:tcW w:w="4568" w:type="pct"/>
          </w:tcPr>
          <w:p w:rsidR="00FD24B2" w:rsidRPr="00FD24B2" w:rsidRDefault="00FD24B2" w:rsidP="00940D97">
            <w:pPr>
              <w:rPr>
                <w:rFonts w:ascii="Arial" w:hAnsi="Arial" w:cs="Arial"/>
                <w:sz w:val="22"/>
              </w:rPr>
            </w:pPr>
            <w:r w:rsidRPr="00FD24B2">
              <w:rPr>
                <w:rFonts w:ascii="Arial" w:hAnsi="Arial" w:cs="Arial"/>
                <w:sz w:val="22"/>
              </w:rPr>
              <w:t xml:space="preserve">VoIP Interconnect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53-56</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VoIP Interconnection Agreements </w:t>
            </w:r>
          </w:p>
          <w:p w:rsidR="00FD24B2" w:rsidRPr="00FD24B2" w:rsidRDefault="00FD24B2" w:rsidP="00B628C1">
            <w:pPr>
              <w:rPr>
                <w:rFonts w:ascii="Arial" w:hAnsi="Arial" w:cs="Arial"/>
                <w:sz w:val="22"/>
              </w:rPr>
            </w:pPr>
            <w:r w:rsidRPr="00FD24B2">
              <w:rPr>
                <w:rFonts w:ascii="Arial" w:hAnsi="Arial" w:cs="Arial"/>
                <w:sz w:val="22"/>
              </w:rPr>
              <w:t xml:space="preserve">SIP Endpoints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61</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VoIP LNP Obligations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64</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VoIP Overlap Porting </w:t>
            </w:r>
          </w:p>
          <w:p w:rsidR="00FD24B2" w:rsidRPr="00FD24B2" w:rsidRDefault="00FD24B2" w:rsidP="00B628C1">
            <w:pPr>
              <w:rPr>
                <w:rFonts w:ascii="Arial" w:hAnsi="Arial" w:cs="Arial"/>
                <w:sz w:val="22"/>
              </w:rPr>
            </w:pPr>
            <w:r w:rsidRPr="00FD24B2">
              <w:rPr>
                <w:rFonts w:ascii="Arial" w:hAnsi="Arial" w:cs="Arial"/>
                <w:sz w:val="22"/>
              </w:rPr>
              <w:t xml:space="preserve">Facilities in the Rate Center </w:t>
            </w:r>
          </w:p>
          <w:p w:rsidR="00FD24B2" w:rsidRPr="00FD24B2" w:rsidRDefault="00FD24B2" w:rsidP="00B628C1">
            <w:pPr>
              <w:rPr>
                <w:rFonts w:ascii="Arial" w:hAnsi="Arial" w:cs="Arial"/>
                <w:sz w:val="22"/>
              </w:rPr>
            </w:pPr>
            <w:r w:rsidRPr="00FD24B2">
              <w:rPr>
                <w:rFonts w:ascii="Arial" w:hAnsi="Arial" w:cs="Arial"/>
                <w:sz w:val="22"/>
              </w:rPr>
              <w:t xml:space="preserve">Geographic Limits </w:t>
            </w:r>
          </w:p>
          <w:p w:rsidR="00FD24B2" w:rsidRPr="00FD24B2" w:rsidRDefault="00FD24B2" w:rsidP="00B628C1">
            <w:pPr>
              <w:rPr>
                <w:rFonts w:ascii="Arial" w:hAnsi="Arial" w:cs="Arial"/>
                <w:sz w:val="22"/>
              </w:rPr>
            </w:pPr>
            <w:r w:rsidRPr="00FD24B2">
              <w:rPr>
                <w:rFonts w:ascii="Arial" w:hAnsi="Arial" w:cs="Arial"/>
                <w:sz w:val="22"/>
              </w:rPr>
              <w:t xml:space="preserve">Port Through Numbering Partner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65</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Transitioning to Direct Access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66</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Numbering Cost Allocation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71-75</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Expansion to One-Way VoIP </w:t>
            </w:r>
          </w:p>
          <w:p w:rsidR="00FD24B2" w:rsidRPr="00FD24B2" w:rsidRDefault="00FD24B2" w:rsidP="00B628C1">
            <w:pPr>
              <w:rPr>
                <w:rFonts w:ascii="Arial" w:hAnsi="Arial" w:cs="Arial"/>
                <w:sz w:val="22"/>
              </w:rPr>
            </w:pPr>
            <w:r w:rsidRPr="00FD24B2">
              <w:rPr>
                <w:rFonts w:ascii="Arial" w:hAnsi="Arial" w:cs="Arial"/>
                <w:sz w:val="22"/>
              </w:rPr>
              <w:t xml:space="preserve">Geographic vs. Non-Geographic VoIP </w:t>
            </w:r>
          </w:p>
          <w:p w:rsidR="00FD24B2" w:rsidRPr="00FD24B2" w:rsidRDefault="00FD24B2" w:rsidP="00B628C1">
            <w:pPr>
              <w:rPr>
                <w:rFonts w:ascii="Arial" w:hAnsi="Arial" w:cs="Arial"/>
                <w:sz w:val="22"/>
              </w:rPr>
            </w:pPr>
            <w:r w:rsidRPr="00FD24B2">
              <w:rPr>
                <w:rFonts w:ascii="Arial" w:hAnsi="Arial" w:cs="Arial"/>
                <w:sz w:val="22"/>
              </w:rPr>
              <w:t xml:space="preserve">Potential Numbering Abuses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77-81</w:t>
            </w:r>
          </w:p>
        </w:tc>
        <w:tc>
          <w:tcPr>
            <w:tcW w:w="4568" w:type="pct"/>
          </w:tcPr>
          <w:p w:rsidR="00FD24B2" w:rsidRPr="00FD24B2" w:rsidRDefault="00FD24B2" w:rsidP="00B628C1">
            <w:pPr>
              <w:rPr>
                <w:rFonts w:ascii="Arial" w:hAnsi="Arial" w:cs="Arial"/>
                <w:sz w:val="22"/>
              </w:rPr>
            </w:pPr>
            <w:r w:rsidRPr="00FD24B2">
              <w:rPr>
                <w:rFonts w:ascii="Arial" w:hAnsi="Arial" w:cs="Arial"/>
                <w:sz w:val="22"/>
              </w:rPr>
              <w:t xml:space="preserve">p-ANI Numbering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120-124</w:t>
            </w:r>
          </w:p>
        </w:tc>
        <w:tc>
          <w:tcPr>
            <w:tcW w:w="4568" w:type="pct"/>
          </w:tcPr>
          <w:p w:rsidR="00FD24B2" w:rsidRPr="00FD24B2" w:rsidRDefault="00FD24B2" w:rsidP="00B628C1">
            <w:pPr>
              <w:rPr>
                <w:rFonts w:ascii="Arial" w:hAnsi="Arial" w:cs="Arial"/>
                <w:sz w:val="22"/>
              </w:rPr>
            </w:pPr>
            <w:r w:rsidRPr="00FD24B2">
              <w:rPr>
                <w:rFonts w:ascii="Arial" w:hAnsi="Arial" w:cs="Arial"/>
                <w:sz w:val="22"/>
              </w:rPr>
              <w:t>Transition to Non-Geographic Numbering</w:t>
            </w:r>
          </w:p>
          <w:p w:rsidR="00FD24B2" w:rsidRPr="00FD24B2" w:rsidRDefault="00FD24B2" w:rsidP="00B628C1">
            <w:pPr>
              <w:rPr>
                <w:rFonts w:ascii="Arial" w:hAnsi="Arial" w:cs="Arial"/>
                <w:sz w:val="22"/>
              </w:rPr>
            </w:pPr>
            <w:r w:rsidRPr="00FD24B2">
              <w:rPr>
                <w:rFonts w:ascii="Arial" w:hAnsi="Arial" w:cs="Arial"/>
                <w:sz w:val="22"/>
              </w:rPr>
              <w:t xml:space="preserve">Timeframe for Change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126</w:t>
            </w:r>
          </w:p>
        </w:tc>
        <w:tc>
          <w:tcPr>
            <w:tcW w:w="4568" w:type="pct"/>
          </w:tcPr>
          <w:p w:rsidR="00FD24B2" w:rsidRPr="00FD24B2" w:rsidRDefault="00FD24B2" w:rsidP="00940D97">
            <w:pPr>
              <w:rPr>
                <w:rFonts w:ascii="Arial" w:hAnsi="Arial" w:cs="Arial"/>
                <w:sz w:val="22"/>
              </w:rPr>
            </w:pPr>
            <w:r w:rsidRPr="00FD24B2">
              <w:rPr>
                <w:rFonts w:ascii="Arial" w:hAnsi="Arial" w:cs="Arial"/>
                <w:sz w:val="22"/>
              </w:rPr>
              <w:t xml:space="preserve">Public Safety </w:t>
            </w:r>
          </w:p>
        </w:tc>
      </w:tr>
      <w:tr w:rsidR="00FD24B2" w:rsidRPr="00FD24B2" w:rsidTr="00FD24B2">
        <w:tc>
          <w:tcPr>
            <w:tcW w:w="432" w:type="pct"/>
          </w:tcPr>
          <w:p w:rsidR="00FD24B2" w:rsidRPr="00FD24B2" w:rsidRDefault="00FD24B2" w:rsidP="00B628C1">
            <w:pPr>
              <w:rPr>
                <w:rFonts w:ascii="Arial" w:hAnsi="Arial" w:cs="Arial"/>
                <w:sz w:val="22"/>
              </w:rPr>
            </w:pPr>
            <w:r w:rsidRPr="00FD24B2">
              <w:rPr>
                <w:rFonts w:ascii="Arial" w:hAnsi="Arial" w:cs="Arial"/>
                <w:sz w:val="22"/>
              </w:rPr>
              <w:t>127</w:t>
            </w:r>
          </w:p>
        </w:tc>
        <w:tc>
          <w:tcPr>
            <w:tcW w:w="4568" w:type="pct"/>
          </w:tcPr>
          <w:p w:rsidR="00FD24B2" w:rsidRPr="00FD24B2" w:rsidRDefault="00FD24B2" w:rsidP="00940D97">
            <w:pPr>
              <w:rPr>
                <w:rFonts w:ascii="Arial" w:hAnsi="Arial" w:cs="Arial"/>
                <w:sz w:val="22"/>
              </w:rPr>
            </w:pPr>
            <w:r w:rsidRPr="00FD24B2">
              <w:rPr>
                <w:rFonts w:ascii="Arial" w:hAnsi="Arial" w:cs="Arial"/>
                <w:sz w:val="22"/>
              </w:rPr>
              <w:t xml:space="preserve">Disability Access  </w:t>
            </w:r>
          </w:p>
        </w:tc>
      </w:tr>
    </w:tbl>
    <w:p w:rsidR="00FD24B2" w:rsidRDefault="00FD24B2" w:rsidP="00FD24B2">
      <w:pPr>
        <w:spacing w:after="0" w:line="240" w:lineRule="auto"/>
        <w:rPr>
          <w:rFonts w:ascii="Arial" w:hAnsi="Arial" w:cs="Arial"/>
          <w:sz w:val="22"/>
        </w:rPr>
      </w:pPr>
    </w:p>
    <w:sectPr w:rsidR="00FD24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1E" w:rsidRDefault="0084451E" w:rsidP="00587FA7">
      <w:pPr>
        <w:spacing w:after="0" w:line="240" w:lineRule="auto"/>
      </w:pPr>
      <w:r>
        <w:separator/>
      </w:r>
    </w:p>
  </w:endnote>
  <w:endnote w:type="continuationSeparator" w:id="0">
    <w:p w:rsidR="0084451E" w:rsidRDefault="0084451E"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899288"/>
      <w:docPartObj>
        <w:docPartGallery w:val="Page Numbers (Bottom of Page)"/>
        <w:docPartUnique/>
      </w:docPartObj>
    </w:sdtPr>
    <w:sdtEndPr>
      <w:rPr>
        <w:noProof/>
      </w:rPr>
    </w:sdtEndPr>
    <w:sdtContent>
      <w:p w:rsidR="00FD24B2" w:rsidRDefault="00FD24B2">
        <w:pPr>
          <w:pStyle w:val="Footer"/>
          <w:jc w:val="center"/>
        </w:pPr>
        <w:r>
          <w:fldChar w:fldCharType="begin"/>
        </w:r>
        <w:r>
          <w:instrText xml:space="preserve"> PAGE   \* MERGEFORMAT </w:instrText>
        </w:r>
        <w:r>
          <w:fldChar w:fldCharType="separate"/>
        </w:r>
        <w:r w:rsidR="006B2EA7">
          <w:rPr>
            <w:noProof/>
          </w:rPr>
          <w:t>1</w:t>
        </w:r>
        <w:r>
          <w:rPr>
            <w:noProof/>
          </w:rPr>
          <w:fldChar w:fldCharType="end"/>
        </w:r>
      </w:p>
    </w:sdtContent>
  </w:sdt>
  <w:p w:rsidR="00FD24B2" w:rsidRDefault="00FD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1E" w:rsidRDefault="0084451E" w:rsidP="00587FA7">
      <w:pPr>
        <w:spacing w:after="0" w:line="240" w:lineRule="auto"/>
      </w:pPr>
      <w:r>
        <w:separator/>
      </w:r>
    </w:p>
  </w:footnote>
  <w:footnote w:type="continuationSeparator" w:id="0">
    <w:p w:rsidR="0084451E" w:rsidRDefault="0084451E"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A7" w:rsidRPr="002D5BC1" w:rsidRDefault="00587FA7" w:rsidP="00587FA7">
    <w:pPr>
      <w:pStyle w:val="Header"/>
      <w:jc w:val="center"/>
      <w:rPr>
        <w:rFonts w:ascii="Arial" w:hAnsi="Arial" w:cs="Arial"/>
        <w:b/>
      </w:rPr>
    </w:pPr>
    <w:r w:rsidRPr="002D5BC1">
      <w:rPr>
        <w:rFonts w:ascii="Arial" w:hAnsi="Arial" w:cs="Arial"/>
        <w:b/>
      </w:rPr>
      <w:t>Future of Numbering Working Group Meeting Notes</w:t>
    </w:r>
  </w:p>
  <w:p w:rsidR="00587FA7" w:rsidRPr="002D5BC1" w:rsidRDefault="00587FA7" w:rsidP="00587FA7">
    <w:pPr>
      <w:pStyle w:val="Header"/>
      <w:jc w:val="center"/>
      <w:rPr>
        <w:rFonts w:ascii="Arial" w:hAnsi="Arial" w:cs="Arial"/>
        <w:b/>
      </w:rPr>
    </w:pPr>
    <w:r w:rsidRPr="002D5BC1">
      <w:rPr>
        <w:rFonts w:ascii="Arial" w:hAnsi="Arial" w:cs="Arial"/>
        <w:b/>
      </w:rPr>
      <w:t>August 7, 2013, 11:00-12:30 CT</w:t>
    </w:r>
  </w:p>
  <w:p w:rsidR="00587FA7" w:rsidRPr="002D5BC1" w:rsidRDefault="00587FA7" w:rsidP="00587FA7">
    <w:pPr>
      <w:pStyle w:val="Header"/>
      <w:jc w:val="center"/>
      <w:rPr>
        <w:rFonts w:ascii="Arial" w:hAnsi="Arial" w:cs="Arial"/>
        <w:b/>
      </w:rPr>
    </w:pPr>
  </w:p>
  <w:p w:rsidR="00587FA7" w:rsidRDefault="00587FA7" w:rsidP="00FD24B2">
    <w:r w:rsidRPr="002D5BC1">
      <w:rPr>
        <w:rFonts w:ascii="Arial" w:hAnsi="Arial" w:cs="Arial"/>
        <w:b/>
        <w:sz w:val="20"/>
        <w:szCs w:val="20"/>
      </w:rPr>
      <w:t>Tri-Chair</w:t>
    </w:r>
    <w:r>
      <w:rPr>
        <w:rFonts w:ascii="Arial" w:hAnsi="Arial" w:cs="Arial"/>
        <w:b/>
        <w:sz w:val="20"/>
        <w:szCs w:val="20"/>
      </w:rPr>
      <w:t xml:space="preserve"> Contact Information</w:t>
    </w:r>
    <w:r w:rsidRPr="002D5BC1">
      <w:rPr>
        <w:rFonts w:ascii="Arial" w:hAnsi="Arial" w:cs="Arial"/>
        <w:b/>
        <w:sz w:val="20"/>
        <w:szCs w:val="20"/>
      </w:rPr>
      <w:t>:</w:t>
    </w:r>
    <w:r w:rsidRPr="002D5BC1">
      <w:rPr>
        <w:rFonts w:ascii="Arial" w:hAnsi="Arial" w:cs="Arial"/>
        <w:sz w:val="20"/>
        <w:szCs w:val="20"/>
      </w:rPr>
      <w:t xml:space="preserve"> Mark Lancaster</w:t>
    </w:r>
    <w:r w:rsidRPr="002D5BC1">
      <w:rPr>
        <w:rFonts w:ascii="Arial" w:hAnsi="Arial" w:cs="Arial"/>
        <w:b/>
        <w:sz w:val="20"/>
        <w:szCs w:val="20"/>
      </w:rPr>
      <w:t xml:space="preserve"> (</w:t>
    </w:r>
    <w:r w:rsidRPr="002D5BC1">
      <w:rPr>
        <w:rFonts w:ascii="Arial" w:eastAsia="Times New Roman" w:hAnsi="Arial" w:cs="Arial"/>
        <w:color w:val="0000FF"/>
        <w:sz w:val="20"/>
        <w:szCs w:val="20"/>
        <w:u w:val="single"/>
      </w:rPr>
      <w:t>ml1217@att.com</w:t>
    </w:r>
    <w:r w:rsidRPr="002D5BC1">
      <w:rPr>
        <w:rFonts w:ascii="Arial" w:eastAsia="Times New Roman" w:hAnsi="Arial" w:cs="Arial"/>
        <w:sz w:val="20"/>
        <w:szCs w:val="20"/>
      </w:rPr>
      <w:t>)</w:t>
    </w:r>
    <w:r w:rsidRPr="002D5BC1">
      <w:rPr>
        <w:rFonts w:ascii="Arial" w:eastAsia="Times New Roman" w:hAnsi="Arial" w:cs="Arial"/>
        <w:color w:val="0000FF"/>
        <w:sz w:val="20"/>
        <w:szCs w:val="20"/>
      </w:rPr>
      <w:t xml:space="preserve">, </w:t>
    </w:r>
    <w:r w:rsidRPr="002D5BC1">
      <w:rPr>
        <w:rFonts w:ascii="Arial" w:eastAsia="Times New Roman" w:hAnsi="Arial" w:cs="Arial"/>
        <w:sz w:val="20"/>
        <w:szCs w:val="20"/>
      </w:rPr>
      <w:t xml:space="preserve">Suzanne </w:t>
    </w:r>
    <w:proofErr w:type="spellStart"/>
    <w:r w:rsidRPr="002D5BC1">
      <w:rPr>
        <w:rFonts w:ascii="Arial" w:eastAsia="Times New Roman" w:hAnsi="Arial" w:cs="Arial"/>
        <w:sz w:val="20"/>
        <w:szCs w:val="20"/>
      </w:rPr>
      <w:t>Addington</w:t>
    </w:r>
    <w:proofErr w:type="spellEnd"/>
    <w:r w:rsidRPr="002D5BC1">
      <w:rPr>
        <w:rFonts w:ascii="Arial" w:eastAsia="Times New Roman" w:hAnsi="Arial" w:cs="Arial"/>
        <w:sz w:val="20"/>
        <w:szCs w:val="20"/>
        <w:u w:val="single"/>
      </w:rPr>
      <w:t xml:space="preserve"> </w:t>
    </w:r>
    <w:r w:rsidRPr="002D5BC1">
      <w:rPr>
        <w:rFonts w:ascii="Arial" w:eastAsia="Times New Roman" w:hAnsi="Arial" w:cs="Arial"/>
        <w:color w:val="0000FF"/>
        <w:sz w:val="20"/>
        <w:szCs w:val="20"/>
        <w:u w:val="single"/>
      </w:rPr>
      <w:t>(</w:t>
    </w:r>
    <w:hyperlink r:id="rId1" w:history="1">
      <w:r w:rsidRPr="002D5BC1">
        <w:rPr>
          <w:rFonts w:ascii="Arial" w:eastAsia="Times New Roman" w:hAnsi="Arial" w:cs="Arial"/>
          <w:color w:val="0000FF"/>
          <w:sz w:val="20"/>
          <w:szCs w:val="20"/>
          <w:u w:val="single"/>
        </w:rPr>
        <w:t>suzanne.m.addington@sprint.com</w:t>
      </w:r>
    </w:hyperlink>
    <w:r w:rsidRPr="002D5BC1">
      <w:rPr>
        <w:rFonts w:ascii="Arial" w:eastAsia="Times New Roman" w:hAnsi="Arial" w:cs="Arial"/>
        <w:sz w:val="20"/>
        <w:szCs w:val="20"/>
        <w:u w:val="single"/>
      </w:rPr>
      <w:t>)</w:t>
    </w:r>
    <w:r w:rsidRPr="002D5BC1">
      <w:rPr>
        <w:rFonts w:ascii="Arial" w:eastAsia="Times New Roman" w:hAnsi="Arial" w:cs="Arial"/>
        <w:color w:val="0000FF"/>
        <w:sz w:val="20"/>
        <w:szCs w:val="20"/>
      </w:rPr>
      <w:t xml:space="preserve"> </w:t>
    </w:r>
    <w:r w:rsidRPr="002D5BC1">
      <w:rPr>
        <w:rFonts w:ascii="Arial" w:eastAsia="Times New Roman" w:hAnsi="Arial" w:cs="Arial"/>
        <w:sz w:val="20"/>
        <w:szCs w:val="20"/>
      </w:rPr>
      <w:t>and Kathy Bakke (</w:t>
    </w:r>
    <w:r>
      <w:rPr>
        <w:rFonts w:ascii="Arial" w:eastAsia="Times New Roman" w:hAnsi="Arial" w:cs="Arial"/>
        <w:color w:val="0000FF"/>
        <w:sz w:val="20"/>
        <w:szCs w:val="20"/>
      </w:rPr>
      <w:t>Kathleen.bakke@wisconsin.gov</w:t>
    </w:r>
    <w:r w:rsidRPr="002D5BC1">
      <w:rPr>
        <w:rFonts w:ascii="Arial" w:eastAsia="Times New Roman" w:hAnsi="Arial" w:cs="Arial"/>
        <w:sz w:val="20"/>
        <w:szCs w:val="20"/>
      </w:rPr>
      <w:t>)</w:t>
    </w:r>
    <w:r>
      <w:rPr>
        <w:rFonts w:ascii="Arial" w:eastAsia="Times New Roman" w:hAnsi="Arial" w:cs="Arial"/>
        <w:sz w:val="20"/>
        <w:szCs w:val="20"/>
      </w:rPr>
      <w:t>.</w:t>
    </w:r>
    <w:r w:rsidRPr="002D5BC1">
      <w:rPr>
        <w:rFonts w:ascii="Arial" w:eastAsia="Times New Roman" w:hAnsi="Arial" w:cs="Arial"/>
        <w:color w:val="0000FF"/>
        <w:sz w:val="2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A7"/>
    <w:rsid w:val="00172C21"/>
    <w:rsid w:val="004224D4"/>
    <w:rsid w:val="00587FA7"/>
    <w:rsid w:val="00590E48"/>
    <w:rsid w:val="006B2EA7"/>
    <w:rsid w:val="006C793A"/>
    <w:rsid w:val="00810FCA"/>
    <w:rsid w:val="0084451E"/>
    <w:rsid w:val="00893A99"/>
    <w:rsid w:val="00940D97"/>
    <w:rsid w:val="00950A81"/>
    <w:rsid w:val="00A77760"/>
    <w:rsid w:val="00AB2479"/>
    <w:rsid w:val="00BA13DA"/>
    <w:rsid w:val="00BB2C9B"/>
    <w:rsid w:val="00BD0BC9"/>
    <w:rsid w:val="00CC13BE"/>
    <w:rsid w:val="00F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7.uc.att.com/attinc3/meet/?ExEventID=855708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nc-chair.org/docs/principle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uzanne.m.addington@s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 Kathleen  PSC</dc:creator>
  <cp:lastModifiedBy>Manning, John</cp:lastModifiedBy>
  <cp:revision>2</cp:revision>
  <dcterms:created xsi:type="dcterms:W3CDTF">2013-09-10T18:38:00Z</dcterms:created>
  <dcterms:modified xsi:type="dcterms:W3CDTF">2013-09-10T18:38:00Z</dcterms:modified>
</cp:coreProperties>
</file>