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bookmarkStart w:id="0" w:name="_GoBack"/>
      <w:bookmarkEnd w:id="0"/>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8C0605">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85660A" w:rsidRPr="00A32AD7" w:rsidRDefault="0085660A" w:rsidP="0085660A">
            <w:pPr>
              <w:rPr>
                <w:rStyle w:val="Strong"/>
                <w:rFonts w:ascii="Arial" w:hAnsi="Arial" w:cs="Arial"/>
                <w:b w:val="0"/>
                <w:bCs w:val="0"/>
                <w:sz w:val="20"/>
                <w:szCs w:val="20"/>
              </w:rPr>
            </w:pPr>
            <w:r w:rsidRPr="00A32AD7">
              <w:rPr>
                <w:rStyle w:val="Strong"/>
                <w:rFonts w:ascii="Arial" w:hAnsi="Arial" w:cs="Arial"/>
                <w:b w:val="0"/>
                <w:bCs w:val="0"/>
                <w:sz w:val="20"/>
                <w:szCs w:val="20"/>
              </w:rPr>
              <w:t>Dana Crandall – Verizon Wireless</w:t>
            </w:r>
          </w:p>
          <w:p w:rsidR="00C90844" w:rsidRPr="00A32AD7" w:rsidRDefault="00C90844" w:rsidP="00C90844">
            <w:pPr>
              <w:rPr>
                <w:rStyle w:val="Strong"/>
                <w:rFonts w:ascii="Arial" w:hAnsi="Arial" w:cs="Arial"/>
                <w:b w:val="0"/>
                <w:bCs w:val="0"/>
                <w:sz w:val="20"/>
                <w:szCs w:val="20"/>
              </w:rPr>
            </w:pPr>
            <w:r w:rsidRPr="00A32AD7">
              <w:rPr>
                <w:rStyle w:val="Strong"/>
                <w:rFonts w:ascii="Arial" w:hAnsi="Arial" w:cs="Arial"/>
                <w:b w:val="0"/>
                <w:bCs w:val="0"/>
                <w:sz w:val="20"/>
                <w:szCs w:val="20"/>
              </w:rPr>
              <w:t>Laura Dalton – Verizon</w:t>
            </w:r>
          </w:p>
          <w:p w:rsidR="00470E05" w:rsidRPr="00A32AD7" w:rsidRDefault="00470E05" w:rsidP="00C90844">
            <w:pPr>
              <w:rPr>
                <w:rStyle w:val="Strong"/>
                <w:rFonts w:ascii="Arial" w:hAnsi="Arial" w:cs="Arial"/>
                <w:b w:val="0"/>
                <w:bCs w:val="0"/>
                <w:sz w:val="20"/>
                <w:szCs w:val="20"/>
              </w:rPr>
            </w:pPr>
            <w:r w:rsidRPr="00A32AD7">
              <w:rPr>
                <w:rStyle w:val="Strong"/>
                <w:rFonts w:ascii="Arial" w:hAnsi="Arial" w:cs="Arial"/>
                <w:b w:val="0"/>
                <w:bCs w:val="0"/>
                <w:sz w:val="20"/>
                <w:szCs w:val="20"/>
              </w:rPr>
              <w:t xml:space="preserve">Jan Doell - CenturyLink </w:t>
            </w:r>
          </w:p>
          <w:p w:rsidR="00DB1992" w:rsidRPr="00A32AD7" w:rsidRDefault="00DB1992" w:rsidP="003B2ACD">
            <w:pPr>
              <w:rPr>
                <w:rFonts w:ascii="Arial" w:hAnsi="Arial" w:cs="Arial"/>
                <w:sz w:val="20"/>
                <w:szCs w:val="20"/>
              </w:rPr>
            </w:pPr>
            <w:r w:rsidRPr="00A32AD7">
              <w:rPr>
                <w:rFonts w:ascii="Arial" w:hAnsi="Arial" w:cs="Arial"/>
                <w:sz w:val="20"/>
                <w:szCs w:val="20"/>
              </w:rPr>
              <w:t>Chris Hepburn</w:t>
            </w:r>
            <w:r w:rsidR="00A32AD7">
              <w:rPr>
                <w:rFonts w:ascii="Arial" w:hAnsi="Arial" w:cs="Arial"/>
                <w:sz w:val="20"/>
                <w:szCs w:val="20"/>
              </w:rPr>
              <w:t xml:space="preserve"> – PA PUC</w:t>
            </w:r>
            <w:r w:rsidRPr="00A32AD7">
              <w:rPr>
                <w:rFonts w:ascii="Arial" w:hAnsi="Arial" w:cs="Arial"/>
                <w:sz w:val="20"/>
                <w:szCs w:val="20"/>
              </w:rPr>
              <w:t xml:space="preserve"> </w:t>
            </w:r>
          </w:p>
          <w:p w:rsidR="00FC6F93" w:rsidRDefault="00FC6F93" w:rsidP="003B2ACD">
            <w:pPr>
              <w:rPr>
                <w:rFonts w:ascii="Arial" w:hAnsi="Arial" w:cs="Arial"/>
                <w:sz w:val="20"/>
                <w:szCs w:val="20"/>
              </w:rPr>
            </w:pPr>
            <w:r w:rsidRPr="00A32AD7">
              <w:rPr>
                <w:rFonts w:ascii="Arial" w:hAnsi="Arial" w:cs="Arial"/>
                <w:sz w:val="20"/>
                <w:szCs w:val="20"/>
              </w:rPr>
              <w:t xml:space="preserve">Beth O’Donnell </w:t>
            </w:r>
            <w:r w:rsidR="00F1697F" w:rsidRPr="00A32AD7">
              <w:rPr>
                <w:rFonts w:ascii="Arial" w:hAnsi="Arial" w:cs="Arial"/>
                <w:sz w:val="20"/>
                <w:szCs w:val="20"/>
              </w:rPr>
              <w:t>–</w:t>
            </w:r>
            <w:r w:rsidRPr="00A32AD7">
              <w:rPr>
                <w:rFonts w:ascii="Arial" w:hAnsi="Arial" w:cs="Arial"/>
                <w:sz w:val="20"/>
                <w:szCs w:val="20"/>
              </w:rPr>
              <w:t xml:space="preserve"> Cox</w:t>
            </w:r>
          </w:p>
          <w:p w:rsidR="00045F57" w:rsidRPr="00A32AD7" w:rsidRDefault="00045F57" w:rsidP="003B2ACD">
            <w:pPr>
              <w:rPr>
                <w:rFonts w:ascii="Arial" w:hAnsi="Arial" w:cs="Arial"/>
                <w:sz w:val="20"/>
                <w:szCs w:val="20"/>
              </w:rPr>
            </w:pPr>
            <w:r>
              <w:rPr>
                <w:rFonts w:ascii="Arial" w:hAnsi="Arial" w:cs="Arial"/>
                <w:sz w:val="20"/>
                <w:szCs w:val="20"/>
              </w:rPr>
              <w:t>Linda Richardson – AT&amp;T</w:t>
            </w:r>
          </w:p>
          <w:p w:rsidR="00F1697F" w:rsidRPr="00A32AD7" w:rsidRDefault="00F1697F" w:rsidP="003B2ACD">
            <w:pPr>
              <w:rPr>
                <w:rFonts w:ascii="Arial" w:hAnsi="Arial" w:cs="Arial"/>
                <w:sz w:val="20"/>
                <w:szCs w:val="20"/>
              </w:rPr>
            </w:pPr>
          </w:p>
          <w:p w:rsidR="00BD5DA3" w:rsidRPr="00A32AD7" w:rsidRDefault="00BD5DA3" w:rsidP="00516FCB">
            <w:pPr>
              <w:rPr>
                <w:rStyle w:val="Strong"/>
                <w:rFonts w:ascii="Arial" w:hAnsi="Arial" w:cs="Arial"/>
                <w:b w:val="0"/>
                <w:bCs w:val="0"/>
                <w:color w:val="BFBFBF"/>
                <w:sz w:val="20"/>
                <w:szCs w:val="20"/>
              </w:rPr>
            </w:pPr>
          </w:p>
        </w:tc>
        <w:tc>
          <w:tcPr>
            <w:tcW w:w="4397" w:type="dxa"/>
          </w:tcPr>
          <w:p w:rsidR="00E0341B" w:rsidRDefault="00E0341B" w:rsidP="001F2A47">
            <w:pPr>
              <w:ind w:left="60"/>
              <w:rPr>
                <w:rFonts w:ascii="Arial" w:hAnsi="Arial" w:cs="Arial"/>
                <w:sz w:val="20"/>
                <w:szCs w:val="20"/>
              </w:rPr>
            </w:pPr>
            <w:r w:rsidRPr="00A32AD7">
              <w:rPr>
                <w:rFonts w:ascii="Arial" w:hAnsi="Arial" w:cs="Arial"/>
                <w:sz w:val="20"/>
                <w:szCs w:val="20"/>
              </w:rPr>
              <w:t>Bruce Armstrong</w:t>
            </w:r>
          </w:p>
          <w:p w:rsidR="00045F57" w:rsidRPr="00A32AD7" w:rsidRDefault="00045F57" w:rsidP="001F2A47">
            <w:pPr>
              <w:ind w:left="60"/>
              <w:rPr>
                <w:rFonts w:ascii="Arial" w:hAnsi="Arial" w:cs="Arial"/>
                <w:sz w:val="20"/>
                <w:szCs w:val="20"/>
              </w:rPr>
            </w:pPr>
            <w:r>
              <w:rPr>
                <w:rFonts w:ascii="Arial" w:hAnsi="Arial" w:cs="Arial"/>
                <w:sz w:val="20"/>
                <w:szCs w:val="20"/>
              </w:rPr>
              <w:t>Jan Connelly</w:t>
            </w:r>
          </w:p>
          <w:p w:rsidR="00B1743A" w:rsidRPr="00A32AD7" w:rsidRDefault="00B1743A" w:rsidP="001F2A47">
            <w:pPr>
              <w:ind w:left="60"/>
              <w:rPr>
                <w:rFonts w:ascii="Arial" w:hAnsi="Arial" w:cs="Arial"/>
                <w:sz w:val="20"/>
                <w:szCs w:val="20"/>
              </w:rPr>
            </w:pPr>
            <w:r w:rsidRPr="00A32AD7">
              <w:rPr>
                <w:rFonts w:ascii="Arial" w:hAnsi="Arial" w:cs="Arial"/>
                <w:sz w:val="20"/>
                <w:szCs w:val="20"/>
              </w:rPr>
              <w:t>Tara</w:t>
            </w:r>
            <w:r w:rsidR="00322D4A" w:rsidRPr="00A32AD7">
              <w:rPr>
                <w:rFonts w:ascii="Arial" w:hAnsi="Arial" w:cs="Arial"/>
                <w:sz w:val="20"/>
                <w:szCs w:val="20"/>
              </w:rPr>
              <w:t xml:space="preserve"> Farquhar</w:t>
            </w:r>
          </w:p>
          <w:p w:rsidR="00EB2FA8" w:rsidRPr="00A32AD7" w:rsidRDefault="00EB2FA8" w:rsidP="001F2A47">
            <w:pPr>
              <w:ind w:left="60"/>
              <w:rPr>
                <w:rFonts w:ascii="Arial" w:hAnsi="Arial" w:cs="Arial"/>
                <w:sz w:val="20"/>
                <w:szCs w:val="20"/>
              </w:rPr>
            </w:pPr>
            <w:r w:rsidRPr="00A32AD7">
              <w:rPr>
                <w:rFonts w:ascii="Arial" w:hAnsi="Arial" w:cs="Arial"/>
                <w:sz w:val="20"/>
                <w:szCs w:val="20"/>
              </w:rPr>
              <w:t>Dara Flowers</w:t>
            </w:r>
          </w:p>
          <w:p w:rsidR="00470E05" w:rsidRPr="00A32AD7" w:rsidRDefault="00470E05" w:rsidP="001F2A47">
            <w:pPr>
              <w:ind w:left="60"/>
              <w:rPr>
                <w:rFonts w:ascii="Arial" w:hAnsi="Arial" w:cs="Arial"/>
                <w:sz w:val="20"/>
                <w:szCs w:val="20"/>
              </w:rPr>
            </w:pPr>
            <w:r w:rsidRPr="00A32AD7">
              <w:rPr>
                <w:rFonts w:ascii="Arial" w:hAnsi="Arial" w:cs="Arial"/>
                <w:sz w:val="20"/>
                <w:szCs w:val="20"/>
              </w:rPr>
              <w:t>Linda Hymans</w:t>
            </w:r>
          </w:p>
          <w:p w:rsidR="00C243F1" w:rsidRPr="00A32AD7" w:rsidRDefault="00C243F1" w:rsidP="001F2A47">
            <w:pPr>
              <w:ind w:left="60"/>
              <w:rPr>
                <w:rFonts w:ascii="Arial" w:hAnsi="Arial" w:cs="Arial"/>
                <w:sz w:val="20"/>
                <w:szCs w:val="20"/>
              </w:rPr>
            </w:pPr>
            <w:r w:rsidRPr="00A32AD7">
              <w:rPr>
                <w:rFonts w:ascii="Arial" w:hAnsi="Arial" w:cs="Arial"/>
                <w:sz w:val="20"/>
                <w:szCs w:val="20"/>
              </w:rPr>
              <w:t>Cecil</w:t>
            </w:r>
            <w:r w:rsidR="0085660A" w:rsidRPr="00A32AD7">
              <w:rPr>
                <w:rFonts w:ascii="Arial" w:hAnsi="Arial" w:cs="Arial"/>
                <w:sz w:val="20"/>
                <w:szCs w:val="20"/>
              </w:rPr>
              <w:t>i</w:t>
            </w:r>
            <w:r w:rsidRPr="00A32AD7">
              <w:rPr>
                <w:rFonts w:ascii="Arial" w:hAnsi="Arial" w:cs="Arial"/>
                <w:sz w:val="20"/>
                <w:szCs w:val="20"/>
              </w:rPr>
              <w:t>a McCabe</w:t>
            </w:r>
          </w:p>
          <w:p w:rsidR="00C8401B" w:rsidRPr="00A32AD7" w:rsidRDefault="00C8401B" w:rsidP="001F2A47">
            <w:pPr>
              <w:ind w:left="60"/>
              <w:rPr>
                <w:rFonts w:ascii="Arial" w:hAnsi="Arial" w:cs="Arial"/>
                <w:sz w:val="20"/>
                <w:szCs w:val="20"/>
              </w:rPr>
            </w:pPr>
            <w:r w:rsidRPr="00A32AD7">
              <w:rPr>
                <w:rFonts w:ascii="Arial" w:hAnsi="Arial" w:cs="Arial"/>
                <w:sz w:val="20"/>
                <w:szCs w:val="20"/>
              </w:rPr>
              <w:t>Amy Putnam</w:t>
            </w:r>
          </w:p>
          <w:p w:rsidR="00C243F1" w:rsidRPr="00A32AD7" w:rsidRDefault="00C243F1" w:rsidP="001F2A47">
            <w:pPr>
              <w:ind w:left="60"/>
              <w:rPr>
                <w:rFonts w:ascii="Arial" w:hAnsi="Arial" w:cs="Arial"/>
                <w:sz w:val="20"/>
                <w:szCs w:val="20"/>
              </w:rPr>
            </w:pPr>
            <w:r w:rsidRPr="00A32AD7">
              <w:rPr>
                <w:rFonts w:ascii="Arial" w:hAnsi="Arial" w:cs="Arial"/>
                <w:sz w:val="20"/>
                <w:szCs w:val="20"/>
              </w:rPr>
              <w:t>Shannon Sevigny</w:t>
            </w:r>
          </w:p>
          <w:p w:rsidR="00E426C0" w:rsidRPr="00A32AD7" w:rsidRDefault="00E426C0" w:rsidP="00A04D15">
            <w:pPr>
              <w:ind w:left="60"/>
              <w:rPr>
                <w:rStyle w:val="Strong"/>
                <w:rFonts w:ascii="Arial" w:hAnsi="Arial" w:cs="Arial"/>
                <w:b w:val="0"/>
                <w:sz w:val="20"/>
                <w:szCs w:val="20"/>
              </w:rPr>
            </w:pPr>
            <w:r w:rsidRPr="00A32AD7">
              <w:rPr>
                <w:rStyle w:val="Strong"/>
                <w:rFonts w:ascii="Arial" w:hAnsi="Arial" w:cs="Arial"/>
                <w:b w:val="0"/>
                <w:sz w:val="20"/>
                <w:szCs w:val="20"/>
              </w:rPr>
              <w:t>Florence Weber</w:t>
            </w:r>
          </w:p>
          <w:p w:rsidR="00BE00B0" w:rsidRPr="00A32AD7" w:rsidRDefault="00BE00B0" w:rsidP="00A04D15">
            <w:pPr>
              <w:ind w:left="60"/>
              <w:rPr>
                <w:rStyle w:val="Strong"/>
                <w:rFonts w:ascii="Arial" w:hAnsi="Arial" w:cs="Arial"/>
                <w:b w:val="0"/>
                <w:sz w:val="20"/>
                <w:szCs w:val="20"/>
              </w:rPr>
            </w:pPr>
            <w:r w:rsidRPr="00A32AD7">
              <w:rPr>
                <w:rStyle w:val="Strong"/>
                <w:rFonts w:ascii="Arial" w:hAnsi="Arial" w:cs="Arial"/>
                <w:b w:val="0"/>
                <w:sz w:val="20"/>
                <w:szCs w:val="20"/>
              </w:rPr>
              <w:t>Gary Zahn</w:t>
            </w:r>
          </w:p>
          <w:p w:rsidR="00BD5DA3" w:rsidRPr="00A32AD7" w:rsidRDefault="00BD5DA3" w:rsidP="00A04D15">
            <w:pPr>
              <w:ind w:left="60"/>
              <w:rPr>
                <w:rStyle w:val="Strong"/>
                <w:rFonts w:ascii="Arial" w:hAnsi="Arial" w:cs="Arial"/>
                <w:b w:val="0"/>
                <w:sz w:val="20"/>
                <w:szCs w:val="20"/>
              </w:rPr>
            </w:pPr>
          </w:p>
          <w:p w:rsidR="00A84687" w:rsidRPr="00A32AD7"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C346AD">
        <w:rPr>
          <w:rFonts w:ascii="Arial" w:hAnsi="Arial" w:cs="Arial"/>
          <w:b/>
          <w:sz w:val="20"/>
          <w:szCs w:val="20"/>
        </w:rPr>
        <w:t>July</w:t>
      </w:r>
      <w:r w:rsidR="00AC5E60">
        <w:rPr>
          <w:rFonts w:ascii="Arial" w:hAnsi="Arial" w:cs="Arial"/>
          <w:b/>
          <w:sz w:val="20"/>
          <w:szCs w:val="20"/>
        </w:rPr>
        <w:t>, 2013</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C346AD" w:rsidP="001A5E69">
            <w:pPr>
              <w:rPr>
                <w:rFonts w:ascii="Arial" w:hAnsi="Arial" w:cs="Arial"/>
                <w:sz w:val="20"/>
                <w:szCs w:val="20"/>
              </w:rPr>
            </w:pPr>
            <w:r>
              <w:rPr>
                <w:rFonts w:ascii="Arial" w:hAnsi="Arial" w:cs="Arial"/>
                <w:sz w:val="20"/>
                <w:szCs w:val="20"/>
              </w:rPr>
              <w:t>936</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C346AD" w:rsidP="001A5E69">
            <w:pPr>
              <w:rPr>
                <w:rFonts w:ascii="Arial" w:hAnsi="Arial" w:cs="Arial"/>
                <w:sz w:val="20"/>
                <w:szCs w:val="20"/>
              </w:rPr>
            </w:pPr>
            <w:r>
              <w:rPr>
                <w:rFonts w:ascii="Arial" w:hAnsi="Arial" w:cs="Arial"/>
                <w:sz w:val="20"/>
                <w:szCs w:val="20"/>
              </w:rPr>
              <w:t>322</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C346AD" w:rsidP="001A5E69">
            <w:pPr>
              <w:rPr>
                <w:rFonts w:ascii="Arial" w:hAnsi="Arial" w:cs="Arial"/>
                <w:sz w:val="20"/>
                <w:szCs w:val="20"/>
              </w:rPr>
            </w:pPr>
            <w:r>
              <w:rPr>
                <w:rFonts w:ascii="Arial" w:hAnsi="Arial" w:cs="Arial"/>
                <w:sz w:val="20"/>
                <w:szCs w:val="20"/>
              </w:rPr>
              <w:t>115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C346AD" w:rsidP="001A5E69">
            <w:pPr>
              <w:rPr>
                <w:rFonts w:ascii="Arial" w:hAnsi="Arial" w:cs="Arial"/>
                <w:sz w:val="20"/>
                <w:szCs w:val="20"/>
              </w:rPr>
            </w:pPr>
            <w:r>
              <w:rPr>
                <w:rFonts w:ascii="Arial" w:hAnsi="Arial" w:cs="Arial"/>
                <w:sz w:val="20"/>
                <w:szCs w:val="20"/>
              </w:rPr>
              <w:t>498</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C346AD" w:rsidP="00322D4A">
            <w:pPr>
              <w:rPr>
                <w:rFonts w:ascii="Arial" w:hAnsi="Arial" w:cs="Arial"/>
                <w:sz w:val="20"/>
                <w:szCs w:val="20"/>
              </w:rPr>
            </w:pPr>
            <w:r>
              <w:rPr>
                <w:rFonts w:ascii="Arial" w:hAnsi="Arial" w:cs="Arial"/>
                <w:sz w:val="20"/>
                <w:szCs w:val="20"/>
              </w:rPr>
              <w:t>8,016</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C346AD" w:rsidP="00225869">
            <w:pPr>
              <w:rPr>
                <w:rFonts w:ascii="Arial" w:hAnsi="Arial" w:cs="Arial"/>
                <w:sz w:val="20"/>
                <w:szCs w:val="20"/>
              </w:rPr>
            </w:pPr>
            <w:r>
              <w:rPr>
                <w:rFonts w:ascii="Arial" w:hAnsi="Arial" w:cs="Arial"/>
                <w:sz w:val="20"/>
                <w:szCs w:val="20"/>
              </w:rPr>
              <w:t>595</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502C3" w:rsidP="009506F1">
            <w:pPr>
              <w:rPr>
                <w:rFonts w:ascii="Arial" w:hAnsi="Arial" w:cs="Arial"/>
                <w:sz w:val="20"/>
                <w:szCs w:val="20"/>
              </w:rPr>
            </w:pPr>
            <w:r w:rsidRPr="006C17F0">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5502C3" w:rsidP="00225869">
            <w:pPr>
              <w:pStyle w:val="NormalWeb"/>
              <w:rPr>
                <w:rFonts w:ascii="Arial" w:hAnsi="Arial" w:cs="Arial"/>
                <w:sz w:val="20"/>
                <w:szCs w:val="20"/>
              </w:rPr>
            </w:pPr>
            <w:r w:rsidRPr="006C17F0">
              <w:rPr>
                <w:rFonts w:ascii="Arial" w:hAnsi="Arial" w:cs="Arial"/>
                <w:sz w:val="20"/>
                <w:szCs w:val="20"/>
              </w:rPr>
              <w:t>N/A</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C346AD" w:rsidP="00225869">
            <w:pPr>
              <w:rPr>
                <w:rFonts w:ascii="Arial" w:hAnsi="Arial" w:cs="Arial"/>
                <w:sz w:val="20"/>
                <w:szCs w:val="20"/>
              </w:rPr>
            </w:pPr>
            <w:r>
              <w:rPr>
                <w:rFonts w:ascii="Arial" w:hAnsi="Arial" w:cs="Arial"/>
                <w:sz w:val="20"/>
                <w:szCs w:val="20"/>
              </w:rPr>
              <w:t>135/552</w:t>
            </w:r>
          </w:p>
        </w:tc>
      </w:tr>
    </w:tbl>
    <w:p w:rsidR="00D22809" w:rsidRPr="006C17F0" w:rsidRDefault="00D22809" w:rsidP="00BE00B0">
      <w:pPr>
        <w:rPr>
          <w:rFonts w:ascii="Arial" w:hAnsi="Arial" w:cs="Arial"/>
          <w:sz w:val="20"/>
          <w:szCs w:val="20"/>
        </w:rPr>
      </w:pPr>
    </w:p>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C346AD" w:rsidRPr="006C17F0" w:rsidTr="00BE00B0">
        <w:tc>
          <w:tcPr>
            <w:tcW w:w="4518" w:type="dxa"/>
          </w:tcPr>
          <w:p w:rsidR="00C346AD" w:rsidRPr="006C17F0" w:rsidRDefault="00C346AD" w:rsidP="00E952F7">
            <w:pPr>
              <w:rPr>
                <w:rFonts w:ascii="Arial" w:hAnsi="Arial" w:cs="Arial"/>
                <w:sz w:val="20"/>
                <w:szCs w:val="20"/>
              </w:rPr>
            </w:pPr>
            <w:r>
              <w:rPr>
                <w:rFonts w:ascii="Arial" w:hAnsi="Arial" w:cs="Arial"/>
                <w:sz w:val="20"/>
                <w:szCs w:val="20"/>
              </w:rPr>
              <w:t>August 2012</w:t>
            </w:r>
          </w:p>
        </w:tc>
        <w:tc>
          <w:tcPr>
            <w:tcW w:w="4338" w:type="dxa"/>
          </w:tcPr>
          <w:p w:rsidR="00C346AD" w:rsidRPr="006C17F0" w:rsidRDefault="00C346AD" w:rsidP="00E952F7">
            <w:pPr>
              <w:rPr>
                <w:rFonts w:ascii="Arial" w:hAnsi="Arial" w:cs="Arial"/>
                <w:sz w:val="20"/>
                <w:szCs w:val="20"/>
              </w:rPr>
            </w:pPr>
            <w:r>
              <w:rPr>
                <w:rFonts w:ascii="Arial" w:hAnsi="Arial" w:cs="Arial"/>
                <w:sz w:val="20"/>
                <w:szCs w:val="20"/>
              </w:rPr>
              <w:t>10,990</w:t>
            </w:r>
          </w:p>
        </w:tc>
      </w:tr>
      <w:tr w:rsidR="00C346AD" w:rsidRPr="006C17F0" w:rsidTr="00BE00B0">
        <w:tc>
          <w:tcPr>
            <w:tcW w:w="4518" w:type="dxa"/>
          </w:tcPr>
          <w:p w:rsidR="00C346AD" w:rsidRPr="006C17F0" w:rsidRDefault="00C346AD" w:rsidP="00E952F7">
            <w:pPr>
              <w:rPr>
                <w:rFonts w:ascii="Arial" w:hAnsi="Arial" w:cs="Arial"/>
                <w:sz w:val="20"/>
                <w:szCs w:val="20"/>
              </w:rPr>
            </w:pPr>
            <w:r>
              <w:rPr>
                <w:rFonts w:ascii="Arial" w:hAnsi="Arial" w:cs="Arial"/>
                <w:sz w:val="20"/>
                <w:szCs w:val="20"/>
              </w:rPr>
              <w:t>September 2012</w:t>
            </w:r>
          </w:p>
        </w:tc>
        <w:tc>
          <w:tcPr>
            <w:tcW w:w="4338" w:type="dxa"/>
          </w:tcPr>
          <w:p w:rsidR="00C346AD" w:rsidRPr="006C17F0" w:rsidRDefault="00C346AD" w:rsidP="00E952F7">
            <w:pPr>
              <w:rPr>
                <w:rFonts w:ascii="Arial" w:hAnsi="Arial" w:cs="Arial"/>
                <w:sz w:val="20"/>
                <w:szCs w:val="20"/>
              </w:rPr>
            </w:pPr>
            <w:r>
              <w:rPr>
                <w:rFonts w:ascii="Arial" w:hAnsi="Arial" w:cs="Arial"/>
                <w:sz w:val="20"/>
                <w:szCs w:val="20"/>
              </w:rPr>
              <w:t>15,081</w:t>
            </w:r>
          </w:p>
        </w:tc>
      </w:tr>
      <w:tr w:rsidR="00C346AD" w:rsidRPr="006C17F0" w:rsidTr="00BE00B0">
        <w:tc>
          <w:tcPr>
            <w:tcW w:w="4518" w:type="dxa"/>
          </w:tcPr>
          <w:p w:rsidR="00C346AD" w:rsidRPr="006C17F0" w:rsidRDefault="00C346AD" w:rsidP="00E952F7">
            <w:pPr>
              <w:rPr>
                <w:rFonts w:ascii="Arial" w:hAnsi="Arial" w:cs="Arial"/>
                <w:sz w:val="20"/>
                <w:szCs w:val="20"/>
              </w:rPr>
            </w:pPr>
            <w:r>
              <w:rPr>
                <w:rFonts w:ascii="Arial" w:hAnsi="Arial" w:cs="Arial"/>
                <w:sz w:val="20"/>
                <w:szCs w:val="20"/>
              </w:rPr>
              <w:t>October 2012</w:t>
            </w:r>
          </w:p>
        </w:tc>
        <w:tc>
          <w:tcPr>
            <w:tcW w:w="4338" w:type="dxa"/>
          </w:tcPr>
          <w:p w:rsidR="00C346AD" w:rsidRPr="006C17F0" w:rsidRDefault="00C346AD" w:rsidP="00E952F7">
            <w:pPr>
              <w:rPr>
                <w:rFonts w:ascii="Arial" w:hAnsi="Arial" w:cs="Arial"/>
                <w:sz w:val="20"/>
                <w:szCs w:val="20"/>
              </w:rPr>
            </w:pPr>
            <w:r>
              <w:rPr>
                <w:rFonts w:ascii="Arial" w:hAnsi="Arial" w:cs="Arial"/>
                <w:sz w:val="20"/>
                <w:szCs w:val="20"/>
              </w:rPr>
              <w:t>15,124</w:t>
            </w:r>
          </w:p>
        </w:tc>
      </w:tr>
      <w:tr w:rsidR="00C346AD" w:rsidRPr="006C17F0" w:rsidTr="00BE00B0">
        <w:tc>
          <w:tcPr>
            <w:tcW w:w="4518" w:type="dxa"/>
          </w:tcPr>
          <w:p w:rsidR="00C346AD" w:rsidRPr="006C17F0" w:rsidRDefault="00C346AD" w:rsidP="00E952F7">
            <w:pPr>
              <w:rPr>
                <w:rFonts w:ascii="Arial" w:hAnsi="Arial" w:cs="Arial"/>
                <w:sz w:val="20"/>
                <w:szCs w:val="20"/>
              </w:rPr>
            </w:pPr>
            <w:r>
              <w:rPr>
                <w:rFonts w:ascii="Arial" w:hAnsi="Arial" w:cs="Arial"/>
                <w:sz w:val="20"/>
                <w:szCs w:val="20"/>
              </w:rPr>
              <w:t>November 2012</w:t>
            </w:r>
          </w:p>
        </w:tc>
        <w:tc>
          <w:tcPr>
            <w:tcW w:w="4338" w:type="dxa"/>
          </w:tcPr>
          <w:p w:rsidR="00C346AD" w:rsidRPr="006C17F0" w:rsidRDefault="00C346AD" w:rsidP="00E952F7">
            <w:pPr>
              <w:rPr>
                <w:rFonts w:ascii="Arial" w:hAnsi="Arial" w:cs="Arial"/>
                <w:sz w:val="20"/>
                <w:szCs w:val="20"/>
              </w:rPr>
            </w:pPr>
            <w:r>
              <w:rPr>
                <w:rFonts w:ascii="Arial" w:hAnsi="Arial" w:cs="Arial"/>
                <w:sz w:val="20"/>
                <w:szCs w:val="20"/>
              </w:rPr>
              <w:t>15,491</w:t>
            </w:r>
          </w:p>
        </w:tc>
      </w:tr>
      <w:tr w:rsidR="00C346AD" w:rsidRPr="006C17F0" w:rsidTr="00BE00B0">
        <w:trPr>
          <w:trHeight w:val="47"/>
        </w:trPr>
        <w:tc>
          <w:tcPr>
            <w:tcW w:w="4518" w:type="dxa"/>
          </w:tcPr>
          <w:p w:rsidR="00C346AD" w:rsidRPr="006C17F0" w:rsidRDefault="00C346AD" w:rsidP="00E952F7">
            <w:pPr>
              <w:rPr>
                <w:rFonts w:ascii="Arial" w:hAnsi="Arial" w:cs="Arial"/>
                <w:sz w:val="20"/>
                <w:szCs w:val="20"/>
              </w:rPr>
            </w:pPr>
            <w:r w:rsidRPr="006C17F0">
              <w:rPr>
                <w:rFonts w:ascii="Arial" w:hAnsi="Arial" w:cs="Arial"/>
                <w:sz w:val="20"/>
                <w:szCs w:val="20"/>
              </w:rPr>
              <w:t>December 201</w:t>
            </w:r>
            <w:r>
              <w:rPr>
                <w:rFonts w:ascii="Arial" w:hAnsi="Arial" w:cs="Arial"/>
                <w:sz w:val="20"/>
                <w:szCs w:val="20"/>
              </w:rPr>
              <w:t>2</w:t>
            </w:r>
          </w:p>
        </w:tc>
        <w:tc>
          <w:tcPr>
            <w:tcW w:w="4338" w:type="dxa"/>
          </w:tcPr>
          <w:p w:rsidR="00C346AD" w:rsidRPr="006C17F0" w:rsidRDefault="00C346AD" w:rsidP="00E952F7">
            <w:pPr>
              <w:rPr>
                <w:rFonts w:ascii="Arial" w:hAnsi="Arial" w:cs="Arial"/>
                <w:sz w:val="20"/>
                <w:szCs w:val="20"/>
              </w:rPr>
            </w:pPr>
            <w:r>
              <w:rPr>
                <w:rFonts w:ascii="Arial" w:hAnsi="Arial" w:cs="Arial"/>
                <w:sz w:val="20"/>
                <w:szCs w:val="20"/>
              </w:rPr>
              <w:t>7,626</w:t>
            </w:r>
          </w:p>
        </w:tc>
      </w:tr>
      <w:tr w:rsidR="00C346AD" w:rsidRPr="006C17F0" w:rsidTr="00BE00B0">
        <w:trPr>
          <w:trHeight w:val="143"/>
        </w:trPr>
        <w:tc>
          <w:tcPr>
            <w:tcW w:w="4518" w:type="dxa"/>
          </w:tcPr>
          <w:p w:rsidR="00C346AD" w:rsidRPr="006C17F0" w:rsidRDefault="00C346AD" w:rsidP="00E952F7">
            <w:pPr>
              <w:rPr>
                <w:rFonts w:ascii="Arial" w:hAnsi="Arial" w:cs="Arial"/>
                <w:sz w:val="20"/>
                <w:szCs w:val="20"/>
              </w:rPr>
            </w:pPr>
            <w:r>
              <w:rPr>
                <w:rFonts w:ascii="Arial" w:hAnsi="Arial" w:cs="Arial"/>
                <w:sz w:val="20"/>
                <w:szCs w:val="20"/>
              </w:rPr>
              <w:t>January 2013</w:t>
            </w:r>
          </w:p>
        </w:tc>
        <w:tc>
          <w:tcPr>
            <w:tcW w:w="4338" w:type="dxa"/>
          </w:tcPr>
          <w:p w:rsidR="00C346AD" w:rsidRDefault="00C346AD" w:rsidP="00E952F7">
            <w:pPr>
              <w:rPr>
                <w:rFonts w:ascii="Arial" w:hAnsi="Arial" w:cs="Arial"/>
                <w:sz w:val="20"/>
                <w:szCs w:val="20"/>
              </w:rPr>
            </w:pPr>
            <w:r>
              <w:rPr>
                <w:rFonts w:ascii="Arial" w:hAnsi="Arial" w:cs="Arial"/>
                <w:sz w:val="20"/>
                <w:szCs w:val="20"/>
              </w:rPr>
              <w:t>15,136</w:t>
            </w:r>
          </w:p>
        </w:tc>
      </w:tr>
      <w:tr w:rsidR="00C346AD" w:rsidRPr="006C17F0" w:rsidTr="00BE00B0">
        <w:trPr>
          <w:trHeight w:val="143"/>
        </w:trPr>
        <w:tc>
          <w:tcPr>
            <w:tcW w:w="4518" w:type="dxa"/>
          </w:tcPr>
          <w:p w:rsidR="00C346AD" w:rsidRPr="006C17F0" w:rsidRDefault="00C346AD" w:rsidP="00E952F7">
            <w:pPr>
              <w:rPr>
                <w:rFonts w:ascii="Arial" w:hAnsi="Arial" w:cs="Arial"/>
                <w:sz w:val="20"/>
                <w:szCs w:val="20"/>
              </w:rPr>
            </w:pPr>
            <w:r>
              <w:rPr>
                <w:rFonts w:ascii="Arial" w:hAnsi="Arial" w:cs="Arial"/>
                <w:sz w:val="20"/>
                <w:szCs w:val="20"/>
              </w:rPr>
              <w:t>February 2013</w:t>
            </w:r>
          </w:p>
        </w:tc>
        <w:tc>
          <w:tcPr>
            <w:tcW w:w="4338" w:type="dxa"/>
          </w:tcPr>
          <w:p w:rsidR="00C346AD" w:rsidRDefault="00C346AD" w:rsidP="00E952F7">
            <w:pPr>
              <w:rPr>
                <w:rFonts w:ascii="Arial" w:hAnsi="Arial" w:cs="Arial"/>
                <w:sz w:val="20"/>
                <w:szCs w:val="20"/>
              </w:rPr>
            </w:pPr>
            <w:r>
              <w:rPr>
                <w:rFonts w:ascii="Arial" w:hAnsi="Arial" w:cs="Arial"/>
                <w:sz w:val="20"/>
                <w:szCs w:val="20"/>
              </w:rPr>
              <w:t>9,602</w:t>
            </w:r>
          </w:p>
        </w:tc>
      </w:tr>
      <w:tr w:rsidR="00C346AD" w:rsidRPr="006C17F0" w:rsidTr="00BE00B0">
        <w:trPr>
          <w:trHeight w:val="143"/>
        </w:trPr>
        <w:tc>
          <w:tcPr>
            <w:tcW w:w="4518" w:type="dxa"/>
          </w:tcPr>
          <w:p w:rsidR="00C346AD" w:rsidRPr="006C17F0" w:rsidRDefault="00C346AD" w:rsidP="00E952F7">
            <w:pPr>
              <w:rPr>
                <w:rFonts w:ascii="Arial" w:hAnsi="Arial" w:cs="Arial"/>
                <w:sz w:val="20"/>
                <w:szCs w:val="20"/>
              </w:rPr>
            </w:pPr>
            <w:r>
              <w:rPr>
                <w:rFonts w:ascii="Arial" w:hAnsi="Arial" w:cs="Arial"/>
                <w:sz w:val="20"/>
                <w:szCs w:val="20"/>
              </w:rPr>
              <w:t>March 2013</w:t>
            </w:r>
          </w:p>
        </w:tc>
        <w:tc>
          <w:tcPr>
            <w:tcW w:w="4338" w:type="dxa"/>
          </w:tcPr>
          <w:p w:rsidR="00C346AD" w:rsidRDefault="00C346AD" w:rsidP="00E952F7">
            <w:pPr>
              <w:rPr>
                <w:rFonts w:ascii="Arial" w:hAnsi="Arial" w:cs="Arial"/>
                <w:sz w:val="20"/>
                <w:szCs w:val="20"/>
              </w:rPr>
            </w:pPr>
            <w:r>
              <w:rPr>
                <w:rFonts w:ascii="Arial" w:hAnsi="Arial" w:cs="Arial"/>
                <w:sz w:val="20"/>
                <w:szCs w:val="20"/>
              </w:rPr>
              <w:t>10,357</w:t>
            </w:r>
          </w:p>
        </w:tc>
      </w:tr>
      <w:tr w:rsidR="00C346AD" w:rsidRPr="006C17F0" w:rsidTr="00BE00B0">
        <w:trPr>
          <w:trHeight w:val="143"/>
        </w:trPr>
        <w:tc>
          <w:tcPr>
            <w:tcW w:w="4518" w:type="dxa"/>
          </w:tcPr>
          <w:p w:rsidR="00C346AD" w:rsidRPr="006C17F0" w:rsidRDefault="00C346AD" w:rsidP="00E952F7">
            <w:pPr>
              <w:rPr>
                <w:rFonts w:ascii="Arial" w:hAnsi="Arial" w:cs="Arial"/>
                <w:sz w:val="20"/>
                <w:szCs w:val="20"/>
              </w:rPr>
            </w:pPr>
            <w:r>
              <w:rPr>
                <w:rFonts w:ascii="Arial" w:hAnsi="Arial" w:cs="Arial"/>
                <w:sz w:val="20"/>
                <w:szCs w:val="20"/>
              </w:rPr>
              <w:t>April 2013</w:t>
            </w:r>
          </w:p>
        </w:tc>
        <w:tc>
          <w:tcPr>
            <w:tcW w:w="4338" w:type="dxa"/>
          </w:tcPr>
          <w:p w:rsidR="00C346AD" w:rsidRDefault="00C346AD" w:rsidP="00E952F7">
            <w:pPr>
              <w:rPr>
                <w:rFonts w:ascii="Arial" w:hAnsi="Arial" w:cs="Arial"/>
                <w:sz w:val="20"/>
                <w:szCs w:val="20"/>
              </w:rPr>
            </w:pPr>
            <w:r>
              <w:rPr>
                <w:rFonts w:ascii="Arial" w:hAnsi="Arial" w:cs="Arial"/>
                <w:sz w:val="20"/>
                <w:szCs w:val="20"/>
              </w:rPr>
              <w:t>11,823</w:t>
            </w:r>
          </w:p>
        </w:tc>
      </w:tr>
      <w:tr w:rsidR="00C346AD" w:rsidRPr="006C17F0" w:rsidTr="00BE00B0">
        <w:trPr>
          <w:trHeight w:val="143"/>
        </w:trPr>
        <w:tc>
          <w:tcPr>
            <w:tcW w:w="4518" w:type="dxa"/>
          </w:tcPr>
          <w:p w:rsidR="00C346AD" w:rsidRPr="006C17F0" w:rsidRDefault="00C346AD" w:rsidP="00E952F7">
            <w:pPr>
              <w:rPr>
                <w:rFonts w:ascii="Arial" w:hAnsi="Arial" w:cs="Arial"/>
                <w:sz w:val="20"/>
                <w:szCs w:val="20"/>
              </w:rPr>
            </w:pPr>
            <w:r>
              <w:rPr>
                <w:rFonts w:ascii="Arial" w:hAnsi="Arial" w:cs="Arial"/>
                <w:sz w:val="20"/>
                <w:szCs w:val="20"/>
              </w:rPr>
              <w:t>May 2013</w:t>
            </w:r>
          </w:p>
        </w:tc>
        <w:tc>
          <w:tcPr>
            <w:tcW w:w="4338" w:type="dxa"/>
          </w:tcPr>
          <w:p w:rsidR="00C346AD" w:rsidRDefault="00C346AD" w:rsidP="00E952F7">
            <w:pPr>
              <w:rPr>
                <w:rFonts w:ascii="Arial" w:hAnsi="Arial" w:cs="Arial"/>
                <w:sz w:val="20"/>
                <w:szCs w:val="20"/>
              </w:rPr>
            </w:pPr>
            <w:r>
              <w:rPr>
                <w:rFonts w:ascii="Arial" w:hAnsi="Arial" w:cs="Arial"/>
                <w:sz w:val="20"/>
                <w:szCs w:val="20"/>
              </w:rPr>
              <w:t>12,863</w:t>
            </w:r>
          </w:p>
        </w:tc>
      </w:tr>
      <w:tr w:rsidR="00C346AD" w:rsidRPr="006C17F0" w:rsidTr="00BE00B0">
        <w:tc>
          <w:tcPr>
            <w:tcW w:w="4518" w:type="dxa"/>
          </w:tcPr>
          <w:p w:rsidR="00C346AD" w:rsidRPr="006C17F0" w:rsidRDefault="00C346AD" w:rsidP="00E952F7">
            <w:pPr>
              <w:rPr>
                <w:rFonts w:ascii="Arial" w:hAnsi="Arial" w:cs="Arial"/>
                <w:sz w:val="20"/>
                <w:szCs w:val="20"/>
              </w:rPr>
            </w:pPr>
            <w:r>
              <w:rPr>
                <w:rFonts w:ascii="Arial" w:hAnsi="Arial" w:cs="Arial"/>
                <w:sz w:val="20"/>
                <w:szCs w:val="20"/>
              </w:rPr>
              <w:t>June 2013</w:t>
            </w:r>
          </w:p>
        </w:tc>
        <w:tc>
          <w:tcPr>
            <w:tcW w:w="4338" w:type="dxa"/>
          </w:tcPr>
          <w:p w:rsidR="00C346AD" w:rsidRDefault="00C346AD" w:rsidP="00E952F7">
            <w:pPr>
              <w:rPr>
                <w:rFonts w:ascii="Arial" w:hAnsi="Arial" w:cs="Arial"/>
                <w:sz w:val="20"/>
                <w:szCs w:val="20"/>
              </w:rPr>
            </w:pPr>
            <w:r>
              <w:rPr>
                <w:rFonts w:ascii="Arial" w:hAnsi="Arial" w:cs="Arial"/>
                <w:sz w:val="20"/>
                <w:szCs w:val="20"/>
              </w:rPr>
              <w:t>25,142</w:t>
            </w:r>
          </w:p>
        </w:tc>
      </w:tr>
      <w:tr w:rsidR="00222500" w:rsidRPr="006C17F0" w:rsidTr="00BE00B0">
        <w:tc>
          <w:tcPr>
            <w:tcW w:w="4518" w:type="dxa"/>
          </w:tcPr>
          <w:p w:rsidR="00222500" w:rsidRPr="006C17F0" w:rsidRDefault="00C346AD" w:rsidP="00826A3D">
            <w:pPr>
              <w:rPr>
                <w:rFonts w:ascii="Arial" w:hAnsi="Arial" w:cs="Arial"/>
                <w:sz w:val="20"/>
                <w:szCs w:val="20"/>
              </w:rPr>
            </w:pPr>
            <w:r>
              <w:rPr>
                <w:rFonts w:ascii="Arial" w:hAnsi="Arial" w:cs="Arial"/>
                <w:sz w:val="20"/>
                <w:szCs w:val="20"/>
              </w:rPr>
              <w:t>July 2013</w:t>
            </w:r>
          </w:p>
        </w:tc>
        <w:tc>
          <w:tcPr>
            <w:tcW w:w="4338" w:type="dxa"/>
          </w:tcPr>
          <w:p w:rsidR="00222500" w:rsidRDefault="00C346AD" w:rsidP="00A466E0">
            <w:pPr>
              <w:rPr>
                <w:rFonts w:ascii="Arial" w:hAnsi="Arial" w:cs="Arial"/>
                <w:sz w:val="20"/>
                <w:szCs w:val="20"/>
              </w:rPr>
            </w:pPr>
            <w:r>
              <w:rPr>
                <w:rFonts w:ascii="Arial" w:hAnsi="Arial" w:cs="Arial"/>
                <w:sz w:val="20"/>
                <w:szCs w:val="20"/>
              </w:rPr>
              <w:t>8,016</w:t>
            </w:r>
          </w:p>
        </w:tc>
      </w:tr>
    </w:tbl>
    <w:p w:rsidR="00625452" w:rsidRDefault="00625452" w:rsidP="00BE00B0">
      <w:pPr>
        <w:pStyle w:val="NormalWeb"/>
        <w:spacing w:before="0" w:beforeAutospacing="0" w:after="0" w:afterAutospacing="0"/>
        <w:rPr>
          <w:rFonts w:ascii="Arial" w:hAnsi="Arial" w:cs="Arial"/>
          <w:b/>
          <w:bCs/>
          <w:sz w:val="20"/>
          <w:szCs w:val="20"/>
        </w:rPr>
      </w:pPr>
    </w:p>
    <w:p w:rsidR="006F5BDD" w:rsidRDefault="00491F6E" w:rsidP="00BE00B0">
      <w:pPr>
        <w:pStyle w:val="NormalWeb"/>
        <w:spacing w:before="0" w:beforeAutospacing="0" w:after="0" w:afterAutospacing="0"/>
        <w:rPr>
          <w:rFonts w:ascii="Arial" w:hAnsi="Arial" w:cs="Arial"/>
          <w:bCs/>
          <w:sz w:val="20"/>
          <w:szCs w:val="20"/>
        </w:rPr>
      </w:pPr>
      <w:r>
        <w:rPr>
          <w:rFonts w:ascii="Arial" w:hAnsi="Arial" w:cs="Arial"/>
          <w:bCs/>
          <w:sz w:val="20"/>
          <w:szCs w:val="20"/>
        </w:rPr>
        <w:t>The PA noted that the Rate Centers with less than 6 months inventory based on forecast report and Number of Rate Centers with no blocks available with blocks forecasted within 6 months report were higher due to one service provider’s incorrect forecast.  The service provider was contacted and the error was identified and is being corrected which will reduce the totals in both reports.</w:t>
      </w:r>
    </w:p>
    <w:p w:rsidR="00491F6E" w:rsidRDefault="00491F6E" w:rsidP="00BE00B0">
      <w:pPr>
        <w:pStyle w:val="NormalWeb"/>
        <w:spacing w:before="0" w:beforeAutospacing="0" w:after="0" w:afterAutospacing="0"/>
        <w:rPr>
          <w:rFonts w:ascii="Arial" w:hAnsi="Arial" w:cs="Arial"/>
          <w:bCs/>
          <w:sz w:val="20"/>
          <w:szCs w:val="20"/>
        </w:rPr>
      </w:pPr>
    </w:p>
    <w:bookmarkStart w:id="3" w:name="_MON_1439370843"/>
    <w:bookmarkEnd w:id="3"/>
    <w:p w:rsidR="00491F6E" w:rsidRDefault="00491F6E"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440829878" r:id="rId9">
            <o:FieldCodes>\s</o:FieldCodes>
          </o:OLEObject>
        </w:object>
      </w:r>
      <w:r>
        <w:rPr>
          <w:rFonts w:ascii="Arial" w:hAnsi="Arial" w:cs="Arial"/>
          <w:bCs/>
          <w:sz w:val="20"/>
          <w:szCs w:val="20"/>
        </w:rPr>
        <w:object w:dxaOrig="1531" w:dyaOrig="990">
          <v:shape id="_x0000_i1026" type="#_x0000_t75" style="width:76.5pt;height:49.5pt" o:ole="">
            <v:imagedata r:id="rId10" o:title=""/>
          </v:shape>
          <o:OLEObject Type="Embed" ProgID="Excel.Sheet.12" ShapeID="_x0000_i1026" DrawAspect="Icon" ObjectID="_1440829879" r:id="rId11"/>
        </w:object>
      </w:r>
    </w:p>
    <w:p w:rsidR="008F49C4" w:rsidRDefault="008F49C4"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3137DA" w:rsidRPr="006C17F0" w:rsidRDefault="00A47BAF" w:rsidP="00BE00B0">
      <w:pPr>
        <w:numPr>
          <w:ilvl w:val="0"/>
          <w:numId w:val="3"/>
        </w:numPr>
        <w:tabs>
          <w:tab w:val="clear" w:pos="360"/>
          <w:tab w:val="num" w:pos="0"/>
        </w:tabs>
        <w:ind w:left="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5" w:name="_Toc314561453"/>
      <w:r w:rsidRPr="006C17F0">
        <w:rPr>
          <w:rFonts w:ascii="Arial" w:hAnsi="Arial" w:cs="Arial"/>
          <w:sz w:val="20"/>
          <w:szCs w:val="20"/>
          <w:u w:val="single"/>
        </w:rPr>
        <w:t>FCC and/or NANC News</w:t>
      </w:r>
      <w:bookmarkEnd w:id="5"/>
    </w:p>
    <w:p w:rsidR="00FC6F93" w:rsidRPr="006C17F0" w:rsidRDefault="0013766A" w:rsidP="00FC6F93">
      <w:pPr>
        <w:numPr>
          <w:ilvl w:val="0"/>
          <w:numId w:val="3"/>
        </w:numPr>
        <w:tabs>
          <w:tab w:val="clear" w:pos="360"/>
          <w:tab w:val="num" w:pos="0"/>
        </w:tabs>
        <w:ind w:left="0"/>
        <w:rPr>
          <w:rFonts w:ascii="Arial" w:hAnsi="Arial" w:cs="Arial"/>
          <w:sz w:val="20"/>
          <w:szCs w:val="20"/>
          <w:u w:val="single"/>
        </w:rPr>
      </w:pPr>
      <w:bookmarkStart w:id="6" w:name="OLE_LINK5"/>
      <w:bookmarkStart w:id="7" w:name="OLE_LINK6"/>
      <w:r>
        <w:rPr>
          <w:rFonts w:ascii="Arial" w:hAnsi="Arial" w:cs="Arial"/>
          <w:sz w:val="20"/>
          <w:szCs w:val="20"/>
        </w:rPr>
        <w:t>Next NANC meeting is scheduled for 9/18/13</w:t>
      </w:r>
    </w:p>
    <w:p w:rsidR="0013493F" w:rsidRDefault="0013493F" w:rsidP="00CF210E">
      <w:pPr>
        <w:rPr>
          <w:rFonts w:ascii="Arial" w:hAnsi="Arial" w:cs="Arial"/>
          <w:sz w:val="20"/>
          <w:szCs w:val="20"/>
        </w:rPr>
      </w:pPr>
    </w:p>
    <w:p w:rsidR="00CF210E" w:rsidRDefault="00CF210E" w:rsidP="00CF210E">
      <w:pPr>
        <w:pStyle w:val="Heading1"/>
        <w:spacing w:before="0" w:after="0"/>
        <w:rPr>
          <w:rFonts w:ascii="Arial" w:hAnsi="Arial" w:cs="Arial"/>
          <w:sz w:val="20"/>
          <w:szCs w:val="20"/>
          <w:u w:val="single"/>
          <w:lang w:val="en-US"/>
        </w:rPr>
      </w:pPr>
      <w:bookmarkStart w:id="8" w:name="_Toc314561454"/>
      <w:r w:rsidRPr="006C17F0">
        <w:rPr>
          <w:rFonts w:ascii="Arial" w:hAnsi="Arial" w:cs="Arial"/>
          <w:sz w:val="20"/>
          <w:szCs w:val="20"/>
          <w:u w:val="single"/>
        </w:rPr>
        <w:t>INC read out (initial closure and new issues)</w:t>
      </w:r>
      <w:bookmarkEnd w:id="8"/>
    </w:p>
    <w:p w:rsidR="00FC6F93" w:rsidRPr="006C17F0" w:rsidRDefault="0013766A" w:rsidP="00FC6F93">
      <w:pPr>
        <w:numPr>
          <w:ilvl w:val="0"/>
          <w:numId w:val="3"/>
        </w:numPr>
        <w:tabs>
          <w:tab w:val="clear" w:pos="360"/>
          <w:tab w:val="num" w:pos="0"/>
        </w:tabs>
        <w:ind w:left="0"/>
        <w:rPr>
          <w:rFonts w:ascii="Arial" w:hAnsi="Arial" w:cs="Arial"/>
          <w:sz w:val="20"/>
          <w:szCs w:val="20"/>
          <w:u w:val="single"/>
        </w:rPr>
      </w:pPr>
      <w:r>
        <w:rPr>
          <w:rFonts w:ascii="Arial" w:hAnsi="Arial" w:cs="Arial"/>
          <w:sz w:val="20"/>
          <w:szCs w:val="20"/>
        </w:rPr>
        <w:t>None.  There was no INC meeting in July.</w:t>
      </w:r>
    </w:p>
    <w:p w:rsidR="00591932" w:rsidRPr="00E8431A" w:rsidRDefault="00591932" w:rsidP="00625452">
      <w:pPr>
        <w:pStyle w:val="Heading1"/>
        <w:spacing w:before="0" w:after="0"/>
        <w:rPr>
          <w:rFonts w:ascii="Arial" w:hAnsi="Arial" w:cs="Arial"/>
          <w:sz w:val="20"/>
          <w:szCs w:val="20"/>
          <w:u w:val="single"/>
          <w:lang w:val="en-US"/>
        </w:rPr>
      </w:pPr>
      <w:bookmarkStart w:id="9" w:name="_Toc314561455"/>
      <w:bookmarkEnd w:id="6"/>
      <w:bookmarkEnd w:id="7"/>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9"/>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13766A" w:rsidP="00920DE7">
            <w:pPr>
              <w:jc w:val="center"/>
              <w:rPr>
                <w:rFonts w:ascii="Arial" w:eastAsia="Calibri" w:hAnsi="Arial" w:cs="Arial"/>
                <w:sz w:val="20"/>
                <w:szCs w:val="20"/>
              </w:rPr>
            </w:pPr>
            <w:r>
              <w:rPr>
                <w:rFonts w:ascii="Arial" w:eastAsia="Calibri" w:hAnsi="Arial" w:cs="Arial"/>
                <w:sz w:val="20"/>
                <w:szCs w:val="20"/>
              </w:rPr>
              <w:t>576</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1" w:name="_Hlk253392609"/>
            <w:r w:rsidRPr="006C17F0">
              <w:rPr>
                <w:rFonts w:ascii="Arial" w:hAnsi="Arial" w:cs="Arial"/>
                <w:sz w:val="20"/>
                <w:szCs w:val="20"/>
              </w:rPr>
              <w:t># of applications not processed in 5 business days</w:t>
            </w:r>
            <w:bookmarkEnd w:id="11"/>
          </w:p>
        </w:tc>
        <w:tc>
          <w:tcPr>
            <w:tcW w:w="1260" w:type="dxa"/>
            <w:tcMar>
              <w:top w:w="0" w:type="dxa"/>
              <w:left w:w="108" w:type="dxa"/>
              <w:bottom w:w="0" w:type="dxa"/>
              <w:right w:w="108" w:type="dxa"/>
            </w:tcMar>
            <w:vAlign w:val="bottom"/>
          </w:tcPr>
          <w:p w:rsidR="009F2659" w:rsidRPr="006C17F0" w:rsidRDefault="00225869"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13766A" w:rsidP="00920DE7">
            <w:pPr>
              <w:jc w:val="center"/>
              <w:rPr>
                <w:rFonts w:ascii="Arial" w:eastAsia="Calibri" w:hAnsi="Arial" w:cs="Arial"/>
                <w:sz w:val="20"/>
                <w:szCs w:val="20"/>
              </w:rPr>
            </w:pPr>
            <w:r>
              <w:rPr>
                <w:rFonts w:ascii="Arial" w:eastAsia="Calibri" w:hAnsi="Arial" w:cs="Arial"/>
                <w:sz w:val="20"/>
                <w:szCs w:val="20"/>
              </w:rPr>
              <w:t>255</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13766A" w:rsidP="00410231">
            <w:pPr>
              <w:jc w:val="center"/>
              <w:rPr>
                <w:rFonts w:ascii="Arial" w:eastAsia="Calibri" w:hAnsi="Arial" w:cs="Arial"/>
                <w:sz w:val="20"/>
                <w:szCs w:val="20"/>
              </w:rPr>
            </w:pPr>
            <w:r>
              <w:rPr>
                <w:rFonts w:ascii="Arial" w:eastAsia="Calibri" w:hAnsi="Arial" w:cs="Arial"/>
                <w:sz w:val="20"/>
                <w:szCs w:val="20"/>
              </w:rPr>
              <w:t>149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13493F" w:rsidP="00920DE7">
            <w:pPr>
              <w:jc w:val="center"/>
              <w:rPr>
                <w:rFonts w:ascii="Arial" w:eastAsia="Calibri" w:hAnsi="Arial" w:cs="Arial"/>
                <w:sz w:val="20"/>
                <w:szCs w:val="20"/>
              </w:rPr>
            </w:pPr>
            <w:r>
              <w:rPr>
                <w:rFonts w:ascii="Arial" w:eastAsia="Calibri" w:hAnsi="Arial" w:cs="Arial"/>
                <w:sz w:val="20"/>
                <w:szCs w:val="20"/>
              </w:rPr>
              <w:t>1</w:t>
            </w:r>
            <w:r w:rsidR="0013766A">
              <w:rPr>
                <w:rFonts w:ascii="Arial" w:eastAsia="Calibri" w:hAnsi="Arial" w:cs="Arial"/>
                <w:sz w:val="20"/>
                <w:szCs w:val="20"/>
              </w:rPr>
              <w:t>69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13493F"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13766A" w:rsidP="00410231">
            <w:pPr>
              <w:jc w:val="center"/>
              <w:rPr>
                <w:rFonts w:ascii="Arial" w:eastAsia="Calibri" w:hAnsi="Arial" w:cs="Arial"/>
                <w:sz w:val="20"/>
                <w:szCs w:val="20"/>
              </w:rPr>
            </w:pPr>
            <w:r>
              <w:rPr>
                <w:rFonts w:ascii="Arial" w:eastAsia="Calibri" w:hAnsi="Arial" w:cs="Arial"/>
                <w:sz w:val="20"/>
                <w:szCs w:val="20"/>
              </w:rPr>
              <w:t>2</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13493F"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13766A" w:rsidP="00410231">
            <w:pPr>
              <w:jc w:val="center"/>
              <w:rPr>
                <w:rFonts w:ascii="Arial" w:eastAsia="Calibri" w:hAnsi="Arial" w:cs="Arial"/>
                <w:sz w:val="20"/>
                <w:szCs w:val="20"/>
              </w:rPr>
            </w:pPr>
            <w:r>
              <w:rPr>
                <w:rFonts w:ascii="Arial" w:eastAsia="Calibri" w:hAnsi="Arial" w:cs="Arial"/>
                <w:sz w:val="20"/>
                <w:szCs w:val="20"/>
              </w:rPr>
              <w:t>1</w:t>
            </w:r>
          </w:p>
        </w:tc>
      </w:tr>
    </w:tbl>
    <w:p w:rsidR="009F2659" w:rsidRDefault="009F2659" w:rsidP="004E7715">
      <w:pPr>
        <w:pStyle w:val="ListParagraph"/>
        <w:rPr>
          <w:rFonts w:ascii="Arial" w:hAnsi="Arial" w:cs="Arial"/>
          <w:sz w:val="20"/>
          <w:szCs w:val="20"/>
        </w:rPr>
      </w:pPr>
    </w:p>
    <w:p w:rsidR="002C5AC7" w:rsidRDefault="00D97542" w:rsidP="0013493F">
      <w:pPr>
        <w:pStyle w:val="ListParagraph"/>
        <w:numPr>
          <w:ilvl w:val="0"/>
          <w:numId w:val="5"/>
        </w:numPr>
        <w:contextualSpacing w:val="0"/>
        <w:rPr>
          <w:rFonts w:ascii="Arial" w:hAnsi="Arial" w:cs="Arial"/>
          <w:sz w:val="20"/>
          <w:szCs w:val="20"/>
        </w:rPr>
      </w:pPr>
      <w:r>
        <w:rPr>
          <w:rFonts w:ascii="Arial" w:hAnsi="Arial" w:cs="Arial"/>
          <w:sz w:val="20"/>
          <w:szCs w:val="20"/>
        </w:rPr>
        <w:t>Continuing to work</w:t>
      </w:r>
      <w:r w:rsidR="002C5AC7" w:rsidRPr="00826A3D">
        <w:rPr>
          <w:rFonts w:ascii="Arial" w:hAnsi="Arial" w:cs="Arial"/>
          <w:sz w:val="20"/>
          <w:szCs w:val="20"/>
        </w:rPr>
        <w:t xml:space="preserve"> on reconciling the p-ANI data</w:t>
      </w:r>
      <w:r w:rsidR="00586CDB">
        <w:rPr>
          <w:rFonts w:ascii="Arial" w:hAnsi="Arial" w:cs="Arial"/>
          <w:sz w:val="20"/>
          <w:szCs w:val="20"/>
        </w:rPr>
        <w:t xml:space="preserve">. </w:t>
      </w:r>
      <w:r w:rsidR="0013766A">
        <w:rPr>
          <w:rFonts w:ascii="Arial" w:hAnsi="Arial" w:cs="Arial"/>
          <w:sz w:val="20"/>
          <w:szCs w:val="20"/>
        </w:rPr>
        <w:t xml:space="preserve"> There is one p-ANI left as overlapping.</w:t>
      </w:r>
      <w:r w:rsidR="00586CDB">
        <w:rPr>
          <w:rFonts w:ascii="Arial" w:hAnsi="Arial" w:cs="Arial"/>
          <w:sz w:val="20"/>
          <w:szCs w:val="20"/>
        </w:rPr>
        <w:t xml:space="preserve"> </w:t>
      </w:r>
      <w:r w:rsidR="004404F6">
        <w:rPr>
          <w:rFonts w:ascii="Arial" w:hAnsi="Arial" w:cs="Arial"/>
          <w:sz w:val="20"/>
          <w:szCs w:val="20"/>
        </w:rPr>
        <w:t xml:space="preserve">  </w:t>
      </w:r>
    </w:p>
    <w:p w:rsidR="009E65A5" w:rsidRPr="00826A3D" w:rsidRDefault="0013766A" w:rsidP="000559A4">
      <w:pPr>
        <w:pStyle w:val="ListParagraph"/>
        <w:numPr>
          <w:ilvl w:val="0"/>
          <w:numId w:val="5"/>
        </w:numPr>
        <w:contextualSpacing w:val="0"/>
        <w:rPr>
          <w:rFonts w:ascii="Arial" w:hAnsi="Arial" w:cs="Arial"/>
          <w:sz w:val="20"/>
          <w:szCs w:val="20"/>
        </w:rPr>
      </w:pPr>
      <w:r>
        <w:rPr>
          <w:rFonts w:ascii="Arial" w:hAnsi="Arial" w:cs="Arial"/>
          <w:sz w:val="20"/>
          <w:szCs w:val="20"/>
        </w:rPr>
        <w:t>July</w:t>
      </w:r>
      <w:r w:rsidR="00DB4978">
        <w:rPr>
          <w:rFonts w:ascii="Arial" w:hAnsi="Arial" w:cs="Arial"/>
          <w:sz w:val="20"/>
          <w:szCs w:val="20"/>
        </w:rPr>
        <w:t xml:space="preserve"> p-ANI Tip – </w:t>
      </w:r>
      <w:r>
        <w:rPr>
          <w:rFonts w:ascii="Arial" w:hAnsi="Arial" w:cs="Arial"/>
          <w:sz w:val="20"/>
          <w:szCs w:val="20"/>
        </w:rPr>
        <w:t>211 for VoIP and 511 for Wireless p-ANI Assignment Practice</w:t>
      </w:r>
    </w:p>
    <w:p w:rsidR="00122C7A" w:rsidRPr="006C17F0" w:rsidRDefault="00122C7A" w:rsidP="00122C7A">
      <w:pPr>
        <w:pStyle w:val="ListParagraph"/>
        <w:ind w:left="0"/>
        <w:contextualSpacing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10"/>
    </w:p>
    <w:p w:rsidR="00D97542" w:rsidRDefault="0013766A" w:rsidP="00580AEF">
      <w:pPr>
        <w:numPr>
          <w:ilvl w:val="0"/>
          <w:numId w:val="21"/>
        </w:numPr>
        <w:rPr>
          <w:rFonts w:ascii="Arial" w:hAnsi="Arial" w:cs="Arial"/>
          <w:sz w:val="20"/>
          <w:szCs w:val="20"/>
        </w:rPr>
      </w:pPr>
      <w:bookmarkStart w:id="12" w:name="_Toc314561457"/>
      <w:r>
        <w:rPr>
          <w:rFonts w:ascii="Arial" w:hAnsi="Arial" w:cs="Arial"/>
          <w:sz w:val="20"/>
          <w:szCs w:val="20"/>
        </w:rPr>
        <w:t>None</w:t>
      </w:r>
      <w:r w:rsidR="00DB1992">
        <w:rPr>
          <w:rFonts w:ascii="Arial" w:hAnsi="Arial" w:cs="Arial"/>
          <w:sz w:val="20"/>
          <w:szCs w:val="20"/>
        </w:rPr>
        <w:t>.</w:t>
      </w:r>
    </w:p>
    <w:p w:rsidR="004404F6" w:rsidRPr="004404F6" w:rsidRDefault="004404F6" w:rsidP="004404F6">
      <w:pPr>
        <w:rPr>
          <w:rFonts w:ascii="Arial" w:hAnsi="Arial" w:cs="Arial"/>
          <w:sz w:val="20"/>
          <w:szCs w:val="20"/>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lastRenderedPageBreak/>
        <w:t>Pooling Related Activities</w:t>
      </w:r>
      <w:bookmarkEnd w:id="12"/>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9E3A1B" w:rsidRPr="006C17F0" w:rsidRDefault="00626670" w:rsidP="00384E6A">
      <w:pPr>
        <w:ind w:left="360"/>
        <w:rPr>
          <w:rFonts w:ascii="Arial" w:hAnsi="Arial" w:cs="Arial"/>
          <w:sz w:val="20"/>
          <w:szCs w:val="20"/>
        </w:rPr>
      </w:pPr>
      <w:r>
        <w:rPr>
          <w:rFonts w:ascii="Arial" w:hAnsi="Arial" w:cs="Arial"/>
          <w:sz w:val="20"/>
          <w:szCs w:val="20"/>
        </w:rPr>
        <w:t>Ju</w:t>
      </w:r>
      <w:r w:rsidR="0013766A">
        <w:rPr>
          <w:rFonts w:ascii="Arial" w:hAnsi="Arial" w:cs="Arial"/>
          <w:sz w:val="20"/>
          <w:szCs w:val="20"/>
        </w:rPr>
        <w:t>ly</w:t>
      </w:r>
      <w:r>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13766A">
        <w:rPr>
          <w:rFonts w:ascii="Arial" w:hAnsi="Arial" w:cs="Arial"/>
          <w:sz w:val="20"/>
          <w:szCs w:val="20"/>
        </w:rPr>
        <w:t>212</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sidR="0013766A">
        <w:rPr>
          <w:rFonts w:ascii="Arial" w:hAnsi="Arial" w:cs="Arial"/>
          <w:sz w:val="20"/>
          <w:szCs w:val="20"/>
        </w:rPr>
        <w:t>38</w:t>
      </w:r>
      <w:r w:rsidR="009F2659" w:rsidRPr="006C17F0">
        <w:rPr>
          <w:rFonts w:ascii="Arial" w:hAnsi="Arial" w:cs="Arial"/>
          <w:sz w:val="20"/>
          <w:szCs w:val="20"/>
        </w:rPr>
        <w:t xml:space="preserve"> NPAs and </w:t>
      </w:r>
      <w:r>
        <w:rPr>
          <w:rFonts w:ascii="Arial" w:hAnsi="Arial" w:cs="Arial"/>
          <w:sz w:val="20"/>
          <w:szCs w:val="20"/>
        </w:rPr>
        <w:t>19</w:t>
      </w:r>
      <w:r w:rsidR="0099077D">
        <w:rPr>
          <w:rFonts w:ascii="Arial" w:hAnsi="Arial" w:cs="Arial"/>
          <w:sz w:val="20"/>
          <w:szCs w:val="20"/>
        </w:rPr>
        <w:t xml:space="preserve"> </w:t>
      </w:r>
      <w:r w:rsidR="00D90C02" w:rsidRPr="006C17F0">
        <w:rPr>
          <w:rFonts w:ascii="Arial" w:hAnsi="Arial" w:cs="Arial"/>
          <w:sz w:val="20"/>
          <w:szCs w:val="20"/>
        </w:rPr>
        <w:t>states:</w:t>
      </w: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13766A">
        <w:t>202</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13766A">
        <w:t>5</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EF7C74">
        <w:t>2</w:t>
      </w:r>
    </w:p>
    <w:p w:rsidR="00EF7C74" w:rsidRDefault="00EF7C74" w:rsidP="00CD2BEA">
      <w:pPr>
        <w:autoSpaceDE w:val="0"/>
        <w:autoSpaceDN w:val="0"/>
        <w:adjustRightInd w:val="0"/>
        <w:ind w:left="360"/>
      </w:pPr>
    </w:p>
    <w:p w:rsidR="00EF7C74" w:rsidRDefault="00EF7C74" w:rsidP="00CD2BEA">
      <w:pPr>
        <w:autoSpaceDE w:val="0"/>
        <w:autoSpaceDN w:val="0"/>
        <w:adjustRightInd w:val="0"/>
        <w:ind w:left="360"/>
      </w:pPr>
      <w:r>
        <w:t>It was noted that for the State of Michigan, 39 rate centers that were previously exempt are now optional.</w:t>
      </w:r>
    </w:p>
    <w:p w:rsidR="00EF7C74" w:rsidRDefault="00EF7C74" w:rsidP="00CD2BEA">
      <w:pPr>
        <w:autoSpaceDE w:val="0"/>
        <w:autoSpaceDN w:val="0"/>
        <w:adjustRightInd w:val="0"/>
        <w:ind w:left="360"/>
      </w:pPr>
    </w:p>
    <w:p w:rsidR="00EF7C74" w:rsidRDefault="00EF7C74" w:rsidP="00CD2BEA">
      <w:pPr>
        <w:autoSpaceDE w:val="0"/>
        <w:autoSpaceDN w:val="0"/>
        <w:adjustRightInd w:val="0"/>
        <w:ind w:left="360"/>
      </w:pPr>
      <w:r>
        <w:t xml:space="preserve">Three rate centers were added in NE 308 that were previously consolidated into other rate centers in 2010.  The three new rate centers are AARTHUR, BREWSTER AND DUNNING.    </w:t>
      </w:r>
    </w:p>
    <w:p w:rsidR="00EF7C74" w:rsidRDefault="00EF7C74" w:rsidP="00EF7C74">
      <w:pPr>
        <w:autoSpaceDE w:val="0"/>
        <w:autoSpaceDN w:val="0"/>
        <w:adjustRightInd w:val="0"/>
        <w:rPr>
          <w:color w:val="0000FF"/>
        </w:rPr>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67616" w:rsidRPr="00967616" w:rsidRDefault="000A106D" w:rsidP="00967616">
      <w:pPr>
        <w:numPr>
          <w:ilvl w:val="0"/>
          <w:numId w:val="4"/>
        </w:numPr>
        <w:tabs>
          <w:tab w:val="clear" w:pos="1080"/>
          <w:tab w:val="num" w:pos="360"/>
        </w:tabs>
        <w:autoSpaceDE w:val="0"/>
        <w:autoSpaceDN w:val="0"/>
        <w:adjustRightInd w:val="0"/>
        <w:ind w:left="360"/>
      </w:pPr>
      <w:r>
        <w:t>There were no NANPA relief/jeopardy meetings in Ju</w:t>
      </w:r>
      <w:r w:rsidR="00EF7C74">
        <w:t>ly</w:t>
      </w:r>
    </w:p>
    <w:p w:rsidR="00EA20FA" w:rsidRDefault="00EA20FA" w:rsidP="00EA20FA">
      <w:pPr>
        <w:pStyle w:val="ListParagraph"/>
        <w:autoSpaceDE w:val="0"/>
        <w:autoSpaceDN w:val="0"/>
        <w:adjustRightInd w:val="0"/>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B66B1F" w:rsidRDefault="00EF7C74" w:rsidP="00B66B1F">
      <w:pPr>
        <w:pStyle w:val="ListParagraph"/>
        <w:numPr>
          <w:ilvl w:val="0"/>
          <w:numId w:val="4"/>
        </w:numPr>
        <w:tabs>
          <w:tab w:val="clear" w:pos="1080"/>
          <w:tab w:val="num" w:pos="360"/>
        </w:tabs>
        <w:autoSpaceDE w:val="0"/>
        <w:autoSpaceDN w:val="0"/>
        <w:adjustRightInd w:val="0"/>
        <w:ind w:left="360"/>
        <w:rPr>
          <w:rFonts w:ascii="Arial" w:hAnsi="Arial" w:cs="Arial"/>
          <w:bCs/>
          <w:kern w:val="32"/>
          <w:sz w:val="20"/>
          <w:szCs w:val="20"/>
        </w:rPr>
      </w:pPr>
      <w:r>
        <w:rPr>
          <w:rFonts w:ascii="Arial" w:hAnsi="Arial" w:cs="Arial"/>
          <w:bCs/>
          <w:kern w:val="32"/>
          <w:sz w:val="20"/>
          <w:szCs w:val="20"/>
        </w:rPr>
        <w:t>Sent NANPA pooling data for IN 812 initial implementation call scheduled on August 15, 2013</w:t>
      </w:r>
    </w:p>
    <w:p w:rsidR="000571AE" w:rsidRPr="00BA43B4" w:rsidRDefault="000571AE" w:rsidP="00586CDB">
      <w:pPr>
        <w:pStyle w:val="ListParagraph"/>
        <w:autoSpaceDE w:val="0"/>
        <w:autoSpaceDN w:val="0"/>
        <w:adjustRightInd w:val="0"/>
        <w:ind w:left="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3" w:name="_Toc314561458"/>
      <w:r w:rsidRPr="006C17F0">
        <w:rPr>
          <w:rFonts w:ascii="Arial" w:hAnsi="Arial" w:cs="Arial"/>
          <w:sz w:val="20"/>
          <w:szCs w:val="20"/>
          <w:u w:val="single"/>
        </w:rPr>
        <w:t>Regulatory Update</w:t>
      </w:r>
      <w:bookmarkEnd w:id="13"/>
    </w:p>
    <w:p w:rsidR="00967616" w:rsidRDefault="00EF7C74" w:rsidP="00967616">
      <w:pPr>
        <w:pStyle w:val="ListParagraph"/>
        <w:numPr>
          <w:ilvl w:val="0"/>
          <w:numId w:val="23"/>
        </w:numPr>
        <w:contextualSpacing w:val="0"/>
        <w:rPr>
          <w:rFonts w:ascii="Arial" w:hAnsi="Arial" w:cs="Arial"/>
          <w:bCs/>
          <w:kern w:val="32"/>
          <w:sz w:val="20"/>
          <w:szCs w:val="20"/>
        </w:rPr>
      </w:pPr>
      <w:r>
        <w:rPr>
          <w:rFonts w:ascii="Arial" w:hAnsi="Arial" w:cs="Arial"/>
          <w:bCs/>
          <w:kern w:val="32"/>
          <w:sz w:val="20"/>
          <w:szCs w:val="20"/>
        </w:rPr>
        <w:t>Montana delegated authority order was issued on 8/14/13.  A supplemental implementation meeting has been scheduled for 9/19/13.</w:t>
      </w:r>
    </w:p>
    <w:p w:rsidR="000A106D" w:rsidRPr="00E73D1A" w:rsidRDefault="000A106D" w:rsidP="00967616">
      <w:pPr>
        <w:pStyle w:val="ListParagraph"/>
        <w:numPr>
          <w:ilvl w:val="0"/>
          <w:numId w:val="23"/>
        </w:numPr>
        <w:contextualSpacing w:val="0"/>
        <w:rPr>
          <w:rFonts w:ascii="Arial" w:hAnsi="Arial" w:cs="Arial"/>
          <w:bCs/>
          <w:kern w:val="32"/>
          <w:sz w:val="20"/>
          <w:szCs w:val="20"/>
        </w:rPr>
      </w:pPr>
      <w:r>
        <w:rPr>
          <w:rFonts w:ascii="Arial" w:hAnsi="Arial" w:cs="Arial"/>
          <w:bCs/>
          <w:kern w:val="32"/>
          <w:sz w:val="20"/>
          <w:szCs w:val="20"/>
        </w:rPr>
        <w:t>Very old overdue Part 4s project update</w:t>
      </w:r>
      <w:r w:rsidR="00DB1992">
        <w:rPr>
          <w:rFonts w:ascii="Arial" w:hAnsi="Arial" w:cs="Arial"/>
          <w:bCs/>
          <w:kern w:val="32"/>
          <w:sz w:val="20"/>
          <w:szCs w:val="20"/>
        </w:rPr>
        <w:t xml:space="preserve"> – </w:t>
      </w:r>
      <w:r w:rsidR="00EF7C74">
        <w:rPr>
          <w:rFonts w:ascii="Arial" w:hAnsi="Arial" w:cs="Arial"/>
          <w:bCs/>
          <w:kern w:val="32"/>
          <w:sz w:val="20"/>
          <w:szCs w:val="20"/>
        </w:rPr>
        <w:t>All have been resolved.</w:t>
      </w:r>
    </w:p>
    <w:p w:rsidR="00580AEF" w:rsidRDefault="00580AEF" w:rsidP="0091601B">
      <w:pPr>
        <w:rPr>
          <w:rFonts w:ascii="Arial" w:hAnsi="Arial" w:cs="Arial"/>
          <w:b/>
          <w:bCs/>
          <w:kern w:val="32"/>
          <w:sz w:val="20"/>
          <w:szCs w:val="20"/>
          <w:u w:val="single"/>
        </w:rPr>
      </w:pPr>
    </w:p>
    <w:p w:rsidR="001F7D3C" w:rsidRDefault="001F7D3C" w:rsidP="0091601B">
      <w:pPr>
        <w:rPr>
          <w:rFonts w:ascii="Arial" w:hAnsi="Arial" w:cs="Arial"/>
          <w:b/>
          <w:bCs/>
          <w:kern w:val="32"/>
          <w:sz w:val="20"/>
          <w:szCs w:val="20"/>
          <w:u w:val="single"/>
        </w:rPr>
      </w:pPr>
    </w:p>
    <w:p w:rsidR="0048631C" w:rsidRPr="006C17F0" w:rsidRDefault="00DF795F" w:rsidP="00190D45">
      <w:pPr>
        <w:numPr>
          <w:ilvl w:val="0"/>
          <w:numId w:val="2"/>
        </w:num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36402B" w:rsidTr="0036402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02B" w:rsidRPr="0036402B" w:rsidRDefault="0036402B" w:rsidP="00E952F7">
            <w:pPr>
              <w:rPr>
                <w:sz w:val="22"/>
                <w:szCs w:val="22"/>
                <w:u w:val="single"/>
              </w:rPr>
            </w:pPr>
            <w:r w:rsidRPr="0036402B">
              <w:rPr>
                <w:sz w:val="22"/>
                <w:szCs w:val="22"/>
                <w:u w:val="single"/>
              </w:rPr>
              <w:t>Ongoing:</w:t>
            </w:r>
            <w:r w:rsidRPr="0036402B">
              <w:rPr>
                <w:sz w:val="22"/>
                <w:szCs w:val="22"/>
              </w:rPr>
              <w:t xml:space="preserve"> Contacted by the previous administrator (9-1-1 SSP) to look into p-ANI ranges either shown as assigned in our system and available in theirs, and vice versa.</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rsidR="0036402B" w:rsidRPr="0036402B" w:rsidRDefault="0036402B" w:rsidP="00E952F7">
            <w:pPr>
              <w:rPr>
                <w:sz w:val="22"/>
                <w:szCs w:val="22"/>
                <w:u w:val="single"/>
              </w:rPr>
            </w:pPr>
            <w:r w:rsidRPr="0036402B">
              <w:rPr>
                <w:sz w:val="22"/>
                <w:szCs w:val="22"/>
                <w:u w:val="single"/>
              </w:rPr>
              <w:t>Ongoing:</w:t>
            </w:r>
            <w:r w:rsidRPr="0036402B">
              <w:rPr>
                <w:sz w:val="22"/>
                <w:szCs w:val="22"/>
              </w:rPr>
              <w:t xml:space="preserve"> Working with the previous administrator on reconciling the data, by reaching out to the affected carriers, and updating our data as needed.</w:t>
            </w:r>
          </w:p>
        </w:tc>
      </w:tr>
      <w:tr w:rsidR="0036402B" w:rsidTr="0036402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u w:val="single"/>
              </w:rPr>
            </w:pPr>
            <w:r w:rsidRPr="0036402B">
              <w:rPr>
                <w:sz w:val="22"/>
                <w:szCs w:val="22"/>
                <w:u w:val="single"/>
              </w:rPr>
              <w:t>Ongoing:</w:t>
            </w:r>
            <w:r w:rsidRPr="0036402B">
              <w:rPr>
                <w:sz w:val="22"/>
                <w:szCs w:val="22"/>
              </w:rPr>
              <w:t xml:space="preserve">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u w:val="single"/>
              </w:rPr>
            </w:pPr>
            <w:r w:rsidRPr="0036402B">
              <w:rPr>
                <w:sz w:val="22"/>
                <w:szCs w:val="22"/>
                <w:u w:val="single"/>
              </w:rPr>
              <w:t xml:space="preserve">Ongoing: </w:t>
            </w:r>
            <w:r w:rsidRPr="0036402B">
              <w:rPr>
                <w:sz w:val="22"/>
                <w:szCs w:val="22"/>
              </w:rPr>
              <w:t>Send courtesy email to applicant requesting documentation or correct documentation.</w:t>
            </w:r>
          </w:p>
        </w:tc>
      </w:tr>
      <w:tr w:rsidR="0036402B" w:rsidTr="0036402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u w:val="single"/>
              </w:rPr>
            </w:pPr>
            <w:r w:rsidRPr="0036402B">
              <w:rPr>
                <w:sz w:val="22"/>
                <w:szCs w:val="22"/>
                <w:u w:val="single"/>
              </w:rPr>
              <w:t xml:space="preserve">Ongoing: </w:t>
            </w:r>
            <w:r w:rsidRPr="0036402B">
              <w:rPr>
                <w:sz w:val="22"/>
                <w:szCs w:val="22"/>
              </w:rPr>
              <w:t>In certain areas, it was requested that the RNA continue to assign 211 for VoIP and 511 for wireless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u w:val="single"/>
              </w:rPr>
            </w:pPr>
            <w:r w:rsidRPr="0036402B">
              <w:rPr>
                <w:sz w:val="22"/>
                <w:szCs w:val="22"/>
                <w:u w:val="single"/>
              </w:rPr>
              <w:t>Ongoing:</w:t>
            </w:r>
            <w:r w:rsidRPr="0036402B">
              <w:rPr>
                <w:sz w:val="22"/>
                <w:szCs w:val="22"/>
              </w:rPr>
              <w:t xml:space="preserve"> The RNA will continue to assign in that manner in an NPA until either the 211 or 511 NXX is depleted or if a carrier has requested a specific assignment preference. </w:t>
            </w:r>
          </w:p>
        </w:tc>
      </w:tr>
      <w:tr w:rsidR="0036402B" w:rsidTr="0036402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 xml:space="preserve">Received a request for p-ANI for which the documentation was insufficient, and the carrier was having difficulties locating the correct document.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Found the proper documentation and provided it to the carriers (</w:t>
            </w:r>
            <w:r w:rsidRPr="0036402B">
              <w:rPr>
                <w:i/>
                <w:iCs/>
                <w:sz w:val="22"/>
                <w:szCs w:val="22"/>
              </w:rPr>
              <w:t>three instances</w:t>
            </w:r>
            <w:r w:rsidRPr="0036402B">
              <w:rPr>
                <w:sz w:val="22"/>
                <w:szCs w:val="22"/>
              </w:rPr>
              <w:t>).</w:t>
            </w:r>
          </w:p>
        </w:tc>
      </w:tr>
      <w:tr w:rsidR="0036402B" w:rsidTr="0036402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tcPr>
          <w:p w:rsidR="0036402B" w:rsidRPr="0036402B" w:rsidRDefault="0036402B" w:rsidP="00E952F7">
            <w:pPr>
              <w:rPr>
                <w:sz w:val="22"/>
                <w:szCs w:val="22"/>
              </w:rPr>
            </w:pPr>
            <w:r w:rsidRPr="0036402B">
              <w:rPr>
                <w:sz w:val="22"/>
                <w:szCs w:val="22"/>
              </w:rPr>
              <w:lastRenderedPageBreak/>
              <w:t xml:space="preserve">Received an ad hoc request for p-ANIs out of the 511 NXX for a state.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As a result of the report provided, worked with the vendor for the PSAPs to reconcile the data, by reaching out to the affected carriers, and updating our data as needed and also identifying the prior assignment practice for that state as agreed to by the PSAPS to use going forward.</w:t>
            </w:r>
          </w:p>
        </w:tc>
      </w:tr>
    </w:tbl>
    <w:p w:rsidR="003E036D" w:rsidRDefault="003E036D" w:rsidP="0036402B">
      <w:pPr>
        <w:rPr>
          <w:rFonts w:ascii="Arial" w:hAnsi="Arial" w:cs="Arial"/>
          <w:b/>
          <w:bCs/>
          <w:kern w:val="32"/>
          <w:sz w:val="20"/>
          <w:szCs w:val="20"/>
        </w:rPr>
      </w:pPr>
    </w:p>
    <w:p w:rsidR="0036402B" w:rsidRPr="009039C1" w:rsidRDefault="0036402B" w:rsidP="0036402B">
      <w:pPr>
        <w:rPr>
          <w:sz w:val="22"/>
          <w:szCs w:val="22"/>
        </w:rPr>
      </w:pPr>
      <w:r w:rsidRPr="009039C1">
        <w:rPr>
          <w:sz w:val="22"/>
          <w:szCs w:val="22"/>
        </w:rPr>
        <w:t>It was noted</w:t>
      </w:r>
      <w:r w:rsidR="009039C1">
        <w:rPr>
          <w:sz w:val="22"/>
          <w:szCs w:val="22"/>
        </w:rPr>
        <w:t xml:space="preserve"> that the ad hoc request for p-ANIs was received from a vendor as the state was looking for PSAPS to have a process in place that separate 511 and 211 p-ANIs.</w:t>
      </w:r>
      <w:r w:rsidRPr="009039C1">
        <w:rPr>
          <w:sz w:val="22"/>
          <w:szCs w:val="22"/>
        </w:rPr>
        <w:t xml:space="preserve"> </w:t>
      </w:r>
    </w:p>
    <w:p w:rsidR="003E036D" w:rsidRDefault="003E036D" w:rsidP="003E036D">
      <w:pPr>
        <w:ind w:left="72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An SP requested a report for all blocks in PAS as of end of June 2013 for their NRUF.</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Saved the SP time and effort to acquire the report from website data.</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We were made aware that a company had abandoned pooled codes and blocks in a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We worked with NANPA to get permission from the regulator to reclaim the numbering resources as abandoned.  This resulted in 2 blocks being made available in the pool, and 2 pooled codes needing to be transferred to new code holders.</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 xml:space="preserve">The PA continued to reach out to numerous applicants with pending requests in queue that sent us interconnection agreements that were missing or not cited relevant pages.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This helped educate the applicants about the new changes to the guidelines and saved the applicants time so that their applications would more than likely be approved if the missing documentation was sent to the PA rather than being denied due to insufficient documentation.</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As a result of the guidelines being reissued changing the amount of time a code holder has to load a newly assigned pooled code into the NPAC (within 10 calendar days of the issuance of the Part 3) the PA reached out to numerous code holders, per the request of a block holders, to inform them of this new guideline requirement.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 xml:space="preserve">This helped educate the code holders about the new changes to the guidelines and prompted the code holders to load their codes into the NPAC so that the block holders' blocks may be scheduled for activation.  </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We were unable to locate a new block holder for an over contaminated block disconnect request where the block holder was exiting the market and therefore needed to escalate this to the regulator for assistance in locating a new block holder.</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We worked with the regulator to finally get a volunteer to take over the block which resulted in the over contaminated block not being disconnected which would have affected the ported TN holders.</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A service provider contacted us about inadvertently disconnecting a block that they had active customers on.</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We worked with the affected service provider and the NPAC to get the individual block request submitted into PAS, since the effective date of the block disconnect request had already passed, and processed so that the customers could be placed back into service ASAP.</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 xml:space="preserve">We continued working with the companies that are participating in the VoIP trial with getting started with pooling processes (following our new </w:t>
            </w:r>
            <w:r w:rsidRPr="0036402B">
              <w:rPr>
                <w:sz w:val="22"/>
                <w:szCs w:val="22"/>
              </w:rPr>
              <w:lastRenderedPageBreak/>
              <w:t>service provider checklist).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lastRenderedPageBreak/>
              <w:t xml:space="preserve">We worked with the companies, NANPA, and the NPAC with registering the participating companies in PAS, NAS and the NPAC.   We also assisted the companies with contacting NECA to acquire an </w:t>
            </w:r>
            <w:r w:rsidRPr="0036402B">
              <w:rPr>
                <w:sz w:val="22"/>
                <w:szCs w:val="22"/>
              </w:rPr>
              <w:lastRenderedPageBreak/>
              <w:t>OCN and contacting iconnectiv so that they could select a company as their AOCN.  We reviewed certification and proof of facilities readiness documentation prior to the applicants submitting their requests for resources which saved the company’s times so that their applications would be approved rather than being denied due to insufficient initial documentation.</w:t>
            </w:r>
          </w:p>
        </w:tc>
      </w:tr>
      <w:tr w:rsidR="0036402B"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lastRenderedPageBreak/>
              <w:t>Identified and contacted a service provider that had forecasted a large amount of blocks in many rate centers.  This could have affected the NRUF, pool replenishment and triggered calls from regulators.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The service provider indicated that the forecasts were incorrect and would be updated in PAS.</w:t>
            </w:r>
          </w:p>
        </w:tc>
      </w:tr>
      <w:tr w:rsidR="0036402B" w:rsidRPr="00A16601" w:rsidTr="00811ABE">
        <w:trPr>
          <w:trHeight w:val="737"/>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A state regulatory staff person sought assistance with understanding when an SP can go directly to NANPA to obtain resources.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 xml:space="preserve">Educated the state regulatory staff person on rate center designations and how to add excluded rate centers to PAS as optional so that blocks can be returned to the pool. </w:t>
            </w:r>
          </w:p>
        </w:tc>
      </w:tr>
      <w:tr w:rsidR="0036402B" w:rsidRPr="00A16601"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An SP sought guidance on single-service provider (M*) rate center obligations after being contacted by a state regulatory staff person to start pooling.</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Worked extensively with the state regulatory staff person and SP, educating them on pooling obligations in M* rate centers and sent the SP clarifications of the single-service provider exemption and when the ILEC has to pool.</w:t>
            </w:r>
          </w:p>
        </w:tc>
      </w:tr>
      <w:tr w:rsidR="0036402B" w:rsidRPr="00A16601"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6402B" w:rsidRPr="0036402B" w:rsidRDefault="0036402B" w:rsidP="00E952F7">
            <w:pPr>
              <w:rPr>
                <w:sz w:val="22"/>
                <w:szCs w:val="22"/>
              </w:rPr>
            </w:pPr>
            <w:r w:rsidRPr="0036402B">
              <w:rPr>
                <w:sz w:val="22"/>
                <w:szCs w:val="22"/>
              </w:rPr>
              <w:t>A state commission staff person sought assistance with understanding exemptions to pooling, block contamination and intra-service provider porting.</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36402B" w:rsidRPr="0036402B" w:rsidRDefault="0036402B" w:rsidP="00E952F7">
            <w:pPr>
              <w:rPr>
                <w:sz w:val="22"/>
                <w:szCs w:val="22"/>
              </w:rPr>
            </w:pPr>
            <w:r w:rsidRPr="0036402B">
              <w:rPr>
                <w:sz w:val="22"/>
                <w:szCs w:val="22"/>
              </w:rPr>
              <w:t>Educated the staff person on FCC rules and donation and assignment of contaminated blocks.</w:t>
            </w:r>
          </w:p>
        </w:tc>
      </w:tr>
    </w:tbl>
    <w:p w:rsidR="000C5A67" w:rsidRPr="007200B4" w:rsidRDefault="000C5A67" w:rsidP="001F3AC4">
      <w:pPr>
        <w:rPr>
          <w:sz w:val="22"/>
          <w:szCs w:val="22"/>
        </w:rPr>
      </w:pPr>
    </w:p>
    <w:p w:rsidR="00E15B0B" w:rsidRPr="006C17F0" w:rsidRDefault="00DF795F" w:rsidP="00E15B0B">
      <w:pPr>
        <w:pStyle w:val="Heading1"/>
        <w:spacing w:before="0" w:after="0"/>
        <w:rPr>
          <w:rFonts w:ascii="Arial" w:hAnsi="Arial" w:cs="Arial"/>
          <w:sz w:val="20"/>
          <w:szCs w:val="20"/>
          <w:u w:val="single"/>
        </w:rPr>
      </w:pPr>
      <w:bookmarkStart w:id="14" w:name="_Toc314561459"/>
      <w:r w:rsidRPr="006C17F0">
        <w:rPr>
          <w:rFonts w:ascii="Arial" w:hAnsi="Arial" w:cs="Arial"/>
          <w:sz w:val="20"/>
          <w:szCs w:val="20"/>
          <w:u w:val="single"/>
        </w:rPr>
        <w:t>Tracking Log</w:t>
      </w:r>
      <w:bookmarkEnd w:id="14"/>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EC3D97" w:rsidRPr="00967616" w:rsidRDefault="00967616" w:rsidP="001A7179">
      <w:pPr>
        <w:numPr>
          <w:ilvl w:val="0"/>
          <w:numId w:val="15"/>
        </w:numPr>
        <w:rPr>
          <w:b/>
          <w:color w:val="000000"/>
          <w:u w:val="single"/>
        </w:rPr>
      </w:pPr>
      <w:r>
        <w:rPr>
          <w:rFonts w:ascii="Arial" w:hAnsi="Arial" w:cs="Arial"/>
          <w:sz w:val="20"/>
          <w:szCs w:val="20"/>
        </w:rPr>
        <w:t xml:space="preserve">VoIP </w:t>
      </w:r>
      <w:r w:rsidR="00811ABE">
        <w:rPr>
          <w:rFonts w:ascii="Arial" w:hAnsi="Arial" w:cs="Arial"/>
          <w:sz w:val="20"/>
          <w:szCs w:val="20"/>
        </w:rPr>
        <w:t>trial update</w:t>
      </w:r>
      <w:r w:rsidR="00466783">
        <w:rPr>
          <w:rFonts w:ascii="Arial" w:hAnsi="Arial" w:cs="Arial"/>
          <w:sz w:val="20"/>
          <w:szCs w:val="20"/>
        </w:rPr>
        <w:t xml:space="preserve"> – </w:t>
      </w:r>
      <w:r w:rsidR="009039C1">
        <w:rPr>
          <w:rFonts w:ascii="Arial" w:hAnsi="Arial" w:cs="Arial"/>
          <w:sz w:val="20"/>
          <w:szCs w:val="20"/>
        </w:rPr>
        <w:t>All five VoIP trial participants are registered in PAS and assignments have been made.  The PA reported that there have been no issues.</w:t>
      </w:r>
      <w:r w:rsidR="00466783">
        <w:rPr>
          <w:rFonts w:ascii="Arial" w:hAnsi="Arial" w:cs="Arial"/>
          <w:sz w:val="20"/>
          <w:szCs w:val="20"/>
        </w:rPr>
        <w:t xml:space="preserve">  </w:t>
      </w:r>
    </w:p>
    <w:p w:rsidR="00811ABE" w:rsidRPr="00811ABE" w:rsidRDefault="00811ABE" w:rsidP="001A7179">
      <w:pPr>
        <w:numPr>
          <w:ilvl w:val="0"/>
          <w:numId w:val="15"/>
        </w:numPr>
        <w:rPr>
          <w:b/>
          <w:color w:val="000000"/>
          <w:u w:val="single"/>
        </w:rPr>
      </w:pPr>
      <w:r>
        <w:rPr>
          <w:rFonts w:ascii="Arial" w:hAnsi="Arial" w:cs="Arial"/>
          <w:sz w:val="20"/>
          <w:szCs w:val="20"/>
        </w:rPr>
        <w:t>Mid-year highlights</w:t>
      </w:r>
      <w:r w:rsidR="00466783">
        <w:rPr>
          <w:rFonts w:ascii="Arial" w:hAnsi="Arial" w:cs="Arial"/>
          <w:sz w:val="20"/>
          <w:szCs w:val="20"/>
        </w:rPr>
        <w:t xml:space="preserve"> – </w:t>
      </w:r>
      <w:r w:rsidR="009039C1">
        <w:rPr>
          <w:rFonts w:ascii="Arial" w:hAnsi="Arial" w:cs="Arial"/>
          <w:sz w:val="20"/>
          <w:szCs w:val="20"/>
        </w:rPr>
        <w:t>Highlights were sent to the NOWG on 7/26/13.</w:t>
      </w:r>
    </w:p>
    <w:p w:rsidR="00967616" w:rsidRPr="009039C1" w:rsidRDefault="009039C1" w:rsidP="001A7179">
      <w:pPr>
        <w:numPr>
          <w:ilvl w:val="0"/>
          <w:numId w:val="15"/>
        </w:numPr>
        <w:rPr>
          <w:b/>
          <w:color w:val="000000"/>
          <w:u w:val="single"/>
        </w:rPr>
      </w:pPr>
      <w:r>
        <w:rPr>
          <w:rFonts w:ascii="Arial" w:hAnsi="Arial" w:cs="Arial"/>
          <w:sz w:val="20"/>
          <w:szCs w:val="20"/>
        </w:rPr>
        <w:t>PA yearly survey was sent out on 8/5 and a reminder sent out on 8/12.  Due date for survey responses is 8/16/13.</w:t>
      </w:r>
    </w:p>
    <w:p w:rsidR="006C7B45" w:rsidRPr="009039C1" w:rsidRDefault="009039C1" w:rsidP="006C7B45">
      <w:pPr>
        <w:numPr>
          <w:ilvl w:val="0"/>
          <w:numId w:val="15"/>
        </w:numPr>
        <w:rPr>
          <w:b/>
          <w:color w:val="000000"/>
          <w:u w:val="single"/>
        </w:rPr>
      </w:pPr>
      <w:r w:rsidRPr="009039C1">
        <w:rPr>
          <w:rFonts w:ascii="Arial" w:hAnsi="Arial" w:cs="Arial"/>
          <w:sz w:val="20"/>
          <w:szCs w:val="20"/>
        </w:rPr>
        <w:t xml:space="preserve">PA tip of the quarter sent on out 7/9, “Using the Pool Tracking Report When </w:t>
      </w:r>
      <w:r w:rsidR="00151355" w:rsidRPr="009039C1">
        <w:rPr>
          <w:rFonts w:ascii="Arial" w:hAnsi="Arial" w:cs="Arial"/>
          <w:sz w:val="20"/>
          <w:szCs w:val="20"/>
        </w:rPr>
        <w:t>Requesting</w:t>
      </w:r>
      <w:r w:rsidRPr="009039C1">
        <w:rPr>
          <w:rFonts w:ascii="Arial" w:hAnsi="Arial" w:cs="Arial"/>
          <w:sz w:val="20"/>
          <w:szCs w:val="20"/>
        </w:rPr>
        <w:t xml:space="preserve"> an LRN”.</w:t>
      </w:r>
    </w:p>
    <w:p w:rsidR="009039C1" w:rsidRPr="009039C1" w:rsidRDefault="009039C1" w:rsidP="009039C1">
      <w:pPr>
        <w:ind w:left="360"/>
        <w:rPr>
          <w:b/>
          <w:color w:val="000000"/>
          <w:u w:val="single"/>
        </w:rPr>
      </w:pPr>
    </w:p>
    <w:p w:rsidR="00DF795F" w:rsidRPr="006C17F0" w:rsidRDefault="00012DDE" w:rsidP="003137DA">
      <w:pPr>
        <w:pStyle w:val="NormalWeb"/>
        <w:spacing w:before="0" w:beforeAutospacing="0" w:after="0" w:afterAutospacing="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13654" w:rsidRDefault="00813654" w:rsidP="00060D62">
      <w:pPr>
        <w:rPr>
          <w:rFonts w:ascii="Arial" w:hAnsi="Arial" w:cs="Arial"/>
          <w:sz w:val="20"/>
          <w:szCs w:val="20"/>
        </w:rPr>
      </w:pPr>
    </w:p>
    <w:p w:rsidR="00813654" w:rsidRPr="006C17F0" w:rsidRDefault="00813654" w:rsidP="00B610D5">
      <w:pPr>
        <w:ind w:left="360"/>
        <w:rPr>
          <w:rFonts w:ascii="Arial" w:hAnsi="Arial" w:cs="Arial"/>
          <w:sz w:val="20"/>
          <w:szCs w:val="20"/>
        </w:rPr>
      </w:pPr>
    </w:p>
    <w:p w:rsidR="0010614C" w:rsidRPr="006C17F0" w:rsidRDefault="0010614C" w:rsidP="0010614C">
      <w:pPr>
        <w:pStyle w:val="Heading1"/>
        <w:spacing w:before="0" w:after="0"/>
        <w:rPr>
          <w:rFonts w:ascii="Arial" w:hAnsi="Arial" w:cs="Arial"/>
          <w:color w:val="000000"/>
          <w:sz w:val="20"/>
          <w:szCs w:val="20"/>
          <w:u w:val="single"/>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Pr="00E62227" w:rsidRDefault="009039C1" w:rsidP="00AB5D6B">
      <w:pPr>
        <w:numPr>
          <w:ilvl w:val="0"/>
          <w:numId w:val="3"/>
        </w:numPr>
        <w:rPr>
          <w:rFonts w:ascii="Arial" w:hAnsi="Arial" w:cs="Arial"/>
          <w:sz w:val="20"/>
          <w:szCs w:val="20"/>
        </w:rPr>
      </w:pPr>
      <w:r>
        <w:rPr>
          <w:rFonts w:ascii="Arial" w:hAnsi="Arial" w:cs="Arial"/>
          <w:sz w:val="20"/>
          <w:szCs w:val="20"/>
        </w:rPr>
        <w:t>September 16</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RPr="00E62227"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8B" w:rsidRDefault="0011138B">
      <w:r>
        <w:separator/>
      </w:r>
    </w:p>
  </w:endnote>
  <w:endnote w:type="continuationSeparator" w:id="0">
    <w:p w:rsidR="0011138B" w:rsidRDefault="0011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8C0605">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8C0605">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8B" w:rsidRDefault="0011138B">
      <w:r>
        <w:separator/>
      </w:r>
    </w:p>
  </w:footnote>
  <w:footnote w:type="continuationSeparator" w:id="0">
    <w:p w:rsidR="0011138B" w:rsidRDefault="0011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045F57" w:rsidP="00FA5398">
    <w:pPr>
      <w:jc w:val="center"/>
      <w:rPr>
        <w:rStyle w:val="Strong"/>
        <w:rFonts w:ascii="Arial" w:hAnsi="Arial" w:cs="Arial"/>
        <w:sz w:val="20"/>
        <w:szCs w:val="20"/>
      </w:rPr>
    </w:pPr>
    <w:r>
      <w:rPr>
        <w:rStyle w:val="Strong"/>
        <w:rFonts w:ascii="Arial" w:hAnsi="Arial" w:cs="Arial"/>
        <w:sz w:val="20"/>
        <w:szCs w:val="20"/>
      </w:rPr>
      <w:t>August 27</w:t>
    </w:r>
    <w:r w:rsidR="00A558F8">
      <w:rPr>
        <w:rStyle w:val="Strong"/>
        <w:rFonts w:ascii="Arial" w:hAnsi="Arial" w:cs="Arial"/>
        <w:sz w:val="20"/>
        <w:szCs w:val="20"/>
      </w:rPr>
      <w:t>, 2013</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C9B0F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AF23C9"/>
    <w:multiLevelType w:val="hybridMultilevel"/>
    <w:tmpl w:val="27BCBBA2"/>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2880"/>
        </w:tabs>
      </w:p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9">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1"/>
  </w:num>
  <w:num w:numId="4">
    <w:abstractNumId w:val="8"/>
  </w:num>
  <w:num w:numId="5">
    <w:abstractNumId w:val="19"/>
  </w:num>
  <w:num w:numId="6">
    <w:abstractNumId w:val="15"/>
  </w:num>
  <w:num w:numId="7">
    <w:abstractNumId w:val="16"/>
  </w:num>
  <w:num w:numId="8">
    <w:abstractNumId w:val="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4"/>
  </w:num>
  <w:num w:numId="13">
    <w:abstractNumId w:val="23"/>
  </w:num>
  <w:num w:numId="14">
    <w:abstractNumId w:val="6"/>
  </w:num>
  <w:num w:numId="15">
    <w:abstractNumId w:val="9"/>
  </w:num>
  <w:num w:numId="16">
    <w:abstractNumId w:val="0"/>
  </w:num>
  <w:num w:numId="17">
    <w:abstractNumId w:val="10"/>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7EC3"/>
    <w:rsid w:val="000910A5"/>
    <w:rsid w:val="00091582"/>
    <w:rsid w:val="00091655"/>
    <w:rsid w:val="00091D5F"/>
    <w:rsid w:val="000924CE"/>
    <w:rsid w:val="00093A91"/>
    <w:rsid w:val="000961BA"/>
    <w:rsid w:val="00096785"/>
    <w:rsid w:val="000969D4"/>
    <w:rsid w:val="000A106D"/>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485"/>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B6"/>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3290"/>
    <w:rsid w:val="001A3790"/>
    <w:rsid w:val="001A4F3C"/>
    <w:rsid w:val="001A5E69"/>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2C58"/>
    <w:rsid w:val="002037B5"/>
    <w:rsid w:val="00205390"/>
    <w:rsid w:val="00205E14"/>
    <w:rsid w:val="00206BFB"/>
    <w:rsid w:val="00207512"/>
    <w:rsid w:val="002104AF"/>
    <w:rsid w:val="0021134B"/>
    <w:rsid w:val="002117B8"/>
    <w:rsid w:val="002129F6"/>
    <w:rsid w:val="00213D2C"/>
    <w:rsid w:val="00215663"/>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E7B"/>
    <w:rsid w:val="00225F18"/>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29A8"/>
    <w:rsid w:val="002839D4"/>
    <w:rsid w:val="00283E7C"/>
    <w:rsid w:val="00284DBD"/>
    <w:rsid w:val="00285D3B"/>
    <w:rsid w:val="0028674B"/>
    <w:rsid w:val="0029054B"/>
    <w:rsid w:val="00290E86"/>
    <w:rsid w:val="00291944"/>
    <w:rsid w:val="00291BF3"/>
    <w:rsid w:val="00291C37"/>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66AC"/>
    <w:rsid w:val="002B6955"/>
    <w:rsid w:val="002B764E"/>
    <w:rsid w:val="002B7844"/>
    <w:rsid w:val="002B7E27"/>
    <w:rsid w:val="002C08ED"/>
    <w:rsid w:val="002C1DAB"/>
    <w:rsid w:val="002C2A53"/>
    <w:rsid w:val="002C3C0D"/>
    <w:rsid w:val="002C5470"/>
    <w:rsid w:val="002C5AC7"/>
    <w:rsid w:val="002D016F"/>
    <w:rsid w:val="002D0EB6"/>
    <w:rsid w:val="002D1949"/>
    <w:rsid w:val="002D1DD5"/>
    <w:rsid w:val="002D1FBB"/>
    <w:rsid w:val="002D21D8"/>
    <w:rsid w:val="002D2E2E"/>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F1685"/>
    <w:rsid w:val="002F1835"/>
    <w:rsid w:val="002F1EDA"/>
    <w:rsid w:val="002F2B3C"/>
    <w:rsid w:val="002F367E"/>
    <w:rsid w:val="002F51C3"/>
    <w:rsid w:val="002F6E7E"/>
    <w:rsid w:val="002F7DCB"/>
    <w:rsid w:val="00301367"/>
    <w:rsid w:val="00302424"/>
    <w:rsid w:val="0030249E"/>
    <w:rsid w:val="00303205"/>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402B"/>
    <w:rsid w:val="00366257"/>
    <w:rsid w:val="00366A1F"/>
    <w:rsid w:val="003673E1"/>
    <w:rsid w:val="00372774"/>
    <w:rsid w:val="00374D1A"/>
    <w:rsid w:val="00377B3B"/>
    <w:rsid w:val="00380E83"/>
    <w:rsid w:val="00381C9B"/>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4157"/>
    <w:rsid w:val="003F593B"/>
    <w:rsid w:val="003F628D"/>
    <w:rsid w:val="003F68B9"/>
    <w:rsid w:val="003F6A0B"/>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71E4"/>
    <w:rsid w:val="0044008E"/>
    <w:rsid w:val="004404F6"/>
    <w:rsid w:val="00440869"/>
    <w:rsid w:val="00442A55"/>
    <w:rsid w:val="00442EC2"/>
    <w:rsid w:val="0044462D"/>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70E00"/>
    <w:rsid w:val="00470E05"/>
    <w:rsid w:val="0047197A"/>
    <w:rsid w:val="00471B61"/>
    <w:rsid w:val="004733E1"/>
    <w:rsid w:val="00473E7F"/>
    <w:rsid w:val="00473F2B"/>
    <w:rsid w:val="004742D1"/>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104E1"/>
    <w:rsid w:val="00510E99"/>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5CDF"/>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1165"/>
    <w:rsid w:val="005B19D8"/>
    <w:rsid w:val="005B2923"/>
    <w:rsid w:val="005B2D58"/>
    <w:rsid w:val="005B3339"/>
    <w:rsid w:val="005B39C5"/>
    <w:rsid w:val="005B71EC"/>
    <w:rsid w:val="005B78A7"/>
    <w:rsid w:val="005C1F71"/>
    <w:rsid w:val="005C269C"/>
    <w:rsid w:val="005C2DB6"/>
    <w:rsid w:val="005C31B6"/>
    <w:rsid w:val="005C37C1"/>
    <w:rsid w:val="005C3B2A"/>
    <w:rsid w:val="005C5B56"/>
    <w:rsid w:val="005C6042"/>
    <w:rsid w:val="005C6403"/>
    <w:rsid w:val="005C74A3"/>
    <w:rsid w:val="005D0312"/>
    <w:rsid w:val="005D03C9"/>
    <w:rsid w:val="005D0868"/>
    <w:rsid w:val="005D0C67"/>
    <w:rsid w:val="005D1C57"/>
    <w:rsid w:val="005D1CB9"/>
    <w:rsid w:val="005D24F4"/>
    <w:rsid w:val="005D26B7"/>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26670"/>
    <w:rsid w:val="006302B0"/>
    <w:rsid w:val="006321D1"/>
    <w:rsid w:val="0063226A"/>
    <w:rsid w:val="00632A94"/>
    <w:rsid w:val="00632EFB"/>
    <w:rsid w:val="006330EA"/>
    <w:rsid w:val="00633F75"/>
    <w:rsid w:val="00635648"/>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2E9"/>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4111B"/>
    <w:rsid w:val="0074167A"/>
    <w:rsid w:val="00742490"/>
    <w:rsid w:val="00743387"/>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849"/>
    <w:rsid w:val="007C7C68"/>
    <w:rsid w:val="007D00A5"/>
    <w:rsid w:val="007D061B"/>
    <w:rsid w:val="007D1E71"/>
    <w:rsid w:val="007D2F21"/>
    <w:rsid w:val="007D3202"/>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E77B3"/>
    <w:rsid w:val="007F0023"/>
    <w:rsid w:val="007F0052"/>
    <w:rsid w:val="007F074D"/>
    <w:rsid w:val="007F0E74"/>
    <w:rsid w:val="007F0F63"/>
    <w:rsid w:val="007F1F0B"/>
    <w:rsid w:val="007F404B"/>
    <w:rsid w:val="007F504E"/>
    <w:rsid w:val="007F7EA9"/>
    <w:rsid w:val="0080046D"/>
    <w:rsid w:val="00800F9B"/>
    <w:rsid w:val="00801571"/>
    <w:rsid w:val="00802340"/>
    <w:rsid w:val="00804A17"/>
    <w:rsid w:val="00804D2C"/>
    <w:rsid w:val="00804FE7"/>
    <w:rsid w:val="008079D4"/>
    <w:rsid w:val="0081029D"/>
    <w:rsid w:val="0081039B"/>
    <w:rsid w:val="0081085A"/>
    <w:rsid w:val="00811ABE"/>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4C31"/>
    <w:rsid w:val="008259B3"/>
    <w:rsid w:val="00825A5A"/>
    <w:rsid w:val="00826A3D"/>
    <w:rsid w:val="00826BE8"/>
    <w:rsid w:val="008277D7"/>
    <w:rsid w:val="00830065"/>
    <w:rsid w:val="008307BB"/>
    <w:rsid w:val="008314CF"/>
    <w:rsid w:val="00833887"/>
    <w:rsid w:val="00834809"/>
    <w:rsid w:val="00835B1A"/>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57A2"/>
    <w:rsid w:val="00865D42"/>
    <w:rsid w:val="00865DDB"/>
    <w:rsid w:val="0086746B"/>
    <w:rsid w:val="00870067"/>
    <w:rsid w:val="00870801"/>
    <w:rsid w:val="00870A37"/>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F45"/>
    <w:rsid w:val="0088165B"/>
    <w:rsid w:val="00882DEA"/>
    <w:rsid w:val="00883FF6"/>
    <w:rsid w:val="00884EBD"/>
    <w:rsid w:val="00885382"/>
    <w:rsid w:val="008855E3"/>
    <w:rsid w:val="00885939"/>
    <w:rsid w:val="00886B98"/>
    <w:rsid w:val="00886BE8"/>
    <w:rsid w:val="00890CBC"/>
    <w:rsid w:val="00890E3E"/>
    <w:rsid w:val="00890EAA"/>
    <w:rsid w:val="0089467C"/>
    <w:rsid w:val="00894F24"/>
    <w:rsid w:val="00897CBA"/>
    <w:rsid w:val="008A0500"/>
    <w:rsid w:val="008A11A9"/>
    <w:rsid w:val="008A1948"/>
    <w:rsid w:val="008A1EDB"/>
    <w:rsid w:val="008A2BEC"/>
    <w:rsid w:val="008A303A"/>
    <w:rsid w:val="008A45CD"/>
    <w:rsid w:val="008A4995"/>
    <w:rsid w:val="008A64FA"/>
    <w:rsid w:val="008A7EB6"/>
    <w:rsid w:val="008B193C"/>
    <w:rsid w:val="008B2DB2"/>
    <w:rsid w:val="008B39B9"/>
    <w:rsid w:val="008B5CBC"/>
    <w:rsid w:val="008B6F25"/>
    <w:rsid w:val="008B70FB"/>
    <w:rsid w:val="008B7A94"/>
    <w:rsid w:val="008C04E0"/>
    <w:rsid w:val="008C0605"/>
    <w:rsid w:val="008C0CB0"/>
    <w:rsid w:val="008C0F7F"/>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61D2"/>
    <w:rsid w:val="00956500"/>
    <w:rsid w:val="009607DE"/>
    <w:rsid w:val="009612C0"/>
    <w:rsid w:val="00965191"/>
    <w:rsid w:val="00965FB0"/>
    <w:rsid w:val="00966BF6"/>
    <w:rsid w:val="00967616"/>
    <w:rsid w:val="00967C1B"/>
    <w:rsid w:val="00967D32"/>
    <w:rsid w:val="00971C15"/>
    <w:rsid w:val="00971C83"/>
    <w:rsid w:val="00972B62"/>
    <w:rsid w:val="009734C2"/>
    <w:rsid w:val="00973720"/>
    <w:rsid w:val="009746E6"/>
    <w:rsid w:val="009750D7"/>
    <w:rsid w:val="00975109"/>
    <w:rsid w:val="00976876"/>
    <w:rsid w:val="009809C8"/>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3DC9"/>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E7F"/>
    <w:rsid w:val="009D10F0"/>
    <w:rsid w:val="009D1B96"/>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CBE"/>
    <w:rsid w:val="00A30637"/>
    <w:rsid w:val="00A307C8"/>
    <w:rsid w:val="00A31529"/>
    <w:rsid w:val="00A316B3"/>
    <w:rsid w:val="00A31E19"/>
    <w:rsid w:val="00A32AD7"/>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B9B"/>
    <w:rsid w:val="00AB191C"/>
    <w:rsid w:val="00AB1E18"/>
    <w:rsid w:val="00AB20AA"/>
    <w:rsid w:val="00AB3446"/>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F79"/>
    <w:rsid w:val="00B55574"/>
    <w:rsid w:val="00B56D4F"/>
    <w:rsid w:val="00B600F0"/>
    <w:rsid w:val="00B60C58"/>
    <w:rsid w:val="00B60E76"/>
    <w:rsid w:val="00B610D5"/>
    <w:rsid w:val="00B61EE0"/>
    <w:rsid w:val="00B626F9"/>
    <w:rsid w:val="00B62A76"/>
    <w:rsid w:val="00B631CB"/>
    <w:rsid w:val="00B634F6"/>
    <w:rsid w:val="00B63657"/>
    <w:rsid w:val="00B63E74"/>
    <w:rsid w:val="00B63F22"/>
    <w:rsid w:val="00B64B20"/>
    <w:rsid w:val="00B650AE"/>
    <w:rsid w:val="00B6538C"/>
    <w:rsid w:val="00B6620B"/>
    <w:rsid w:val="00B66B1F"/>
    <w:rsid w:val="00B66BCA"/>
    <w:rsid w:val="00B70E18"/>
    <w:rsid w:val="00B71316"/>
    <w:rsid w:val="00B716F2"/>
    <w:rsid w:val="00B71915"/>
    <w:rsid w:val="00B72E59"/>
    <w:rsid w:val="00B731DC"/>
    <w:rsid w:val="00B7360E"/>
    <w:rsid w:val="00B73918"/>
    <w:rsid w:val="00B74173"/>
    <w:rsid w:val="00B74568"/>
    <w:rsid w:val="00B74675"/>
    <w:rsid w:val="00B74DB0"/>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2"/>
    <w:rsid w:val="00BE54D2"/>
    <w:rsid w:val="00BE740F"/>
    <w:rsid w:val="00BE79B5"/>
    <w:rsid w:val="00BF1463"/>
    <w:rsid w:val="00BF3F90"/>
    <w:rsid w:val="00BF4004"/>
    <w:rsid w:val="00BF5DB5"/>
    <w:rsid w:val="00BF6460"/>
    <w:rsid w:val="00BF743E"/>
    <w:rsid w:val="00BF75D7"/>
    <w:rsid w:val="00BF7695"/>
    <w:rsid w:val="00BF7DEF"/>
    <w:rsid w:val="00C002D0"/>
    <w:rsid w:val="00C00593"/>
    <w:rsid w:val="00C00713"/>
    <w:rsid w:val="00C01756"/>
    <w:rsid w:val="00C020A6"/>
    <w:rsid w:val="00C02CC7"/>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6AD"/>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3D2"/>
    <w:rsid w:val="00C72D7E"/>
    <w:rsid w:val="00C730CF"/>
    <w:rsid w:val="00C73E56"/>
    <w:rsid w:val="00C7413B"/>
    <w:rsid w:val="00C74342"/>
    <w:rsid w:val="00C746CB"/>
    <w:rsid w:val="00C75DE6"/>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2BEA"/>
    <w:rsid w:val="00CD3324"/>
    <w:rsid w:val="00CD3E18"/>
    <w:rsid w:val="00CD416E"/>
    <w:rsid w:val="00CD41DD"/>
    <w:rsid w:val="00CD6674"/>
    <w:rsid w:val="00CE1363"/>
    <w:rsid w:val="00CE2C6F"/>
    <w:rsid w:val="00CE4935"/>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6D50"/>
    <w:rsid w:val="00D07C72"/>
    <w:rsid w:val="00D108CD"/>
    <w:rsid w:val="00D1183B"/>
    <w:rsid w:val="00D123B2"/>
    <w:rsid w:val="00D132BB"/>
    <w:rsid w:val="00D141C4"/>
    <w:rsid w:val="00D14632"/>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992"/>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31B8"/>
    <w:rsid w:val="00DD44EB"/>
    <w:rsid w:val="00DD4869"/>
    <w:rsid w:val="00DD4921"/>
    <w:rsid w:val="00DD60E4"/>
    <w:rsid w:val="00DD60F1"/>
    <w:rsid w:val="00DD647B"/>
    <w:rsid w:val="00DD6916"/>
    <w:rsid w:val="00DD74EB"/>
    <w:rsid w:val="00DE01C3"/>
    <w:rsid w:val="00DE0C60"/>
    <w:rsid w:val="00DE268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1EF4"/>
    <w:rsid w:val="00E426C0"/>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756A"/>
    <w:rsid w:val="00E90C52"/>
    <w:rsid w:val="00E92818"/>
    <w:rsid w:val="00E930B7"/>
    <w:rsid w:val="00E93B08"/>
    <w:rsid w:val="00E942E6"/>
    <w:rsid w:val="00E96943"/>
    <w:rsid w:val="00E9760A"/>
    <w:rsid w:val="00EA1426"/>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697F"/>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40E6A"/>
    <w:rsid w:val="00F42FB9"/>
    <w:rsid w:val="00F43745"/>
    <w:rsid w:val="00F437A6"/>
    <w:rsid w:val="00F448F5"/>
    <w:rsid w:val="00F45214"/>
    <w:rsid w:val="00F45D93"/>
    <w:rsid w:val="00F4697A"/>
    <w:rsid w:val="00F46AE2"/>
    <w:rsid w:val="00F4762E"/>
    <w:rsid w:val="00F51608"/>
    <w:rsid w:val="00F52325"/>
    <w:rsid w:val="00F52CD4"/>
    <w:rsid w:val="00F56E00"/>
    <w:rsid w:val="00F576D1"/>
    <w:rsid w:val="00F57C8B"/>
    <w:rsid w:val="00F600F2"/>
    <w:rsid w:val="00F607E5"/>
    <w:rsid w:val="00F60D81"/>
    <w:rsid w:val="00F61754"/>
    <w:rsid w:val="00F62140"/>
    <w:rsid w:val="00F6477C"/>
    <w:rsid w:val="00F64CF5"/>
    <w:rsid w:val="00F65C59"/>
    <w:rsid w:val="00F6687B"/>
    <w:rsid w:val="00F66BD8"/>
    <w:rsid w:val="00F66C76"/>
    <w:rsid w:val="00F67D45"/>
    <w:rsid w:val="00F70748"/>
    <w:rsid w:val="00F723D0"/>
    <w:rsid w:val="00F7280F"/>
    <w:rsid w:val="00F802DC"/>
    <w:rsid w:val="00F818EA"/>
    <w:rsid w:val="00F81AC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7CA"/>
    <w:rsid w:val="00FA2A3D"/>
    <w:rsid w:val="00FA5398"/>
    <w:rsid w:val="00FA5EF8"/>
    <w:rsid w:val="00FA670B"/>
    <w:rsid w:val="00FA7CF4"/>
    <w:rsid w:val="00FA7FC3"/>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4116"/>
    <w:rsid w:val="00FF5ADB"/>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10943</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2013-09-16T13:45:00Z</dcterms:created>
  <dcterms:modified xsi:type="dcterms:W3CDTF">2013-09-16T13:45:00Z</dcterms:modified>
</cp:coreProperties>
</file>