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373A5A">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B60E81" w:rsidRPr="0062348C" w:rsidRDefault="00B60E81" w:rsidP="00F60D62">
            <w:pPr>
              <w:rPr>
                <w:rStyle w:val="Strong"/>
                <w:rFonts w:ascii="Arial" w:hAnsi="Arial" w:cs="Arial"/>
                <w:b w:val="0"/>
                <w:bCs w:val="0"/>
                <w:sz w:val="20"/>
                <w:szCs w:val="20"/>
              </w:rPr>
            </w:pPr>
            <w:r w:rsidRPr="0062348C">
              <w:rPr>
                <w:rStyle w:val="Strong"/>
                <w:rFonts w:ascii="Arial" w:hAnsi="Arial" w:cs="Arial"/>
                <w:b w:val="0"/>
                <w:bCs w:val="0"/>
                <w:sz w:val="20"/>
                <w:szCs w:val="20"/>
              </w:rPr>
              <w:t>AT&amp;T – Linda Richardson</w:t>
            </w:r>
          </w:p>
          <w:p w:rsidR="00F60D62" w:rsidRPr="0062348C" w:rsidRDefault="00F60D62" w:rsidP="00F60D62">
            <w:pPr>
              <w:rPr>
                <w:rStyle w:val="Strong"/>
                <w:rFonts w:ascii="Arial" w:hAnsi="Arial" w:cs="Arial"/>
                <w:b w:val="0"/>
                <w:bCs w:val="0"/>
                <w:sz w:val="20"/>
                <w:szCs w:val="20"/>
              </w:rPr>
            </w:pPr>
            <w:r w:rsidRPr="0062348C">
              <w:rPr>
                <w:rStyle w:val="Strong"/>
                <w:rFonts w:ascii="Arial" w:hAnsi="Arial" w:cs="Arial"/>
                <w:b w:val="0"/>
                <w:bCs w:val="0"/>
                <w:sz w:val="20"/>
                <w:szCs w:val="20"/>
              </w:rPr>
              <w:t>CenturyLink – Jan Doell</w:t>
            </w:r>
          </w:p>
          <w:p w:rsidR="00EF198F" w:rsidRPr="0062348C" w:rsidRDefault="00F60D62" w:rsidP="00F60D62">
            <w:pPr>
              <w:rPr>
                <w:rFonts w:ascii="Arial" w:hAnsi="Arial" w:cs="Arial"/>
                <w:sz w:val="20"/>
                <w:szCs w:val="20"/>
              </w:rPr>
            </w:pPr>
            <w:r w:rsidRPr="0062348C">
              <w:rPr>
                <w:rFonts w:ascii="Arial" w:hAnsi="Arial" w:cs="Arial"/>
                <w:sz w:val="20"/>
                <w:szCs w:val="20"/>
              </w:rPr>
              <w:t>Cox Communication - Beth O’Donnell</w:t>
            </w:r>
          </w:p>
          <w:p w:rsidR="00B27F8F" w:rsidRPr="0062348C" w:rsidRDefault="00B27F8F" w:rsidP="00B27F8F">
            <w:pPr>
              <w:rPr>
                <w:rStyle w:val="Strong"/>
                <w:rFonts w:ascii="Arial" w:hAnsi="Arial" w:cs="Arial"/>
                <w:b w:val="0"/>
                <w:bCs w:val="0"/>
                <w:sz w:val="20"/>
                <w:szCs w:val="20"/>
              </w:rPr>
            </w:pPr>
            <w:r w:rsidRPr="0062348C">
              <w:rPr>
                <w:rStyle w:val="Strong"/>
                <w:rFonts w:ascii="Arial" w:hAnsi="Arial" w:cs="Arial"/>
                <w:b w:val="0"/>
                <w:bCs w:val="0"/>
                <w:sz w:val="20"/>
                <w:szCs w:val="20"/>
              </w:rPr>
              <w:t>PA PUC  -  Chris Hepburn</w:t>
            </w:r>
          </w:p>
          <w:p w:rsidR="00B60E81" w:rsidRPr="0062348C" w:rsidRDefault="00B60E81" w:rsidP="00B27F8F">
            <w:pPr>
              <w:rPr>
                <w:rStyle w:val="Strong"/>
                <w:rFonts w:ascii="Arial" w:hAnsi="Arial" w:cs="Arial"/>
                <w:b w:val="0"/>
                <w:bCs w:val="0"/>
                <w:sz w:val="20"/>
                <w:szCs w:val="20"/>
              </w:rPr>
            </w:pPr>
            <w:r w:rsidRPr="0062348C">
              <w:rPr>
                <w:rStyle w:val="Strong"/>
                <w:rFonts w:ascii="Arial" w:hAnsi="Arial" w:cs="Arial"/>
                <w:b w:val="0"/>
                <w:bCs w:val="0"/>
                <w:sz w:val="20"/>
                <w:szCs w:val="20"/>
              </w:rPr>
              <w:t>Sprint – Shaunna Forshee</w:t>
            </w:r>
          </w:p>
          <w:p w:rsidR="00F60D62" w:rsidRPr="0062348C" w:rsidRDefault="00F60D62" w:rsidP="00F60D62">
            <w:pPr>
              <w:rPr>
                <w:rStyle w:val="Strong"/>
                <w:rFonts w:ascii="Arial" w:hAnsi="Arial" w:cs="Arial"/>
                <w:b w:val="0"/>
                <w:bCs w:val="0"/>
                <w:sz w:val="20"/>
                <w:szCs w:val="20"/>
              </w:rPr>
            </w:pPr>
            <w:r w:rsidRPr="0062348C">
              <w:rPr>
                <w:rStyle w:val="Strong"/>
                <w:rFonts w:ascii="Arial" w:hAnsi="Arial" w:cs="Arial"/>
                <w:b w:val="0"/>
                <w:bCs w:val="0"/>
                <w:sz w:val="20"/>
                <w:szCs w:val="20"/>
              </w:rPr>
              <w:t xml:space="preserve">Sprint – </w:t>
            </w:r>
            <w:r w:rsidR="003B3F1A" w:rsidRPr="0062348C">
              <w:rPr>
                <w:rStyle w:val="Strong"/>
                <w:rFonts w:ascii="Arial" w:hAnsi="Arial" w:cs="Arial"/>
                <w:b w:val="0"/>
                <w:bCs w:val="0"/>
                <w:sz w:val="20"/>
                <w:szCs w:val="20"/>
              </w:rPr>
              <w:t>Karen Riepenkroger</w:t>
            </w:r>
          </w:p>
          <w:p w:rsidR="00B60E81" w:rsidRPr="0062348C" w:rsidRDefault="00B60E81" w:rsidP="00F60D62">
            <w:pPr>
              <w:rPr>
                <w:rStyle w:val="Strong"/>
                <w:rFonts w:ascii="Arial" w:hAnsi="Arial" w:cs="Arial"/>
                <w:b w:val="0"/>
                <w:bCs w:val="0"/>
                <w:sz w:val="20"/>
                <w:szCs w:val="20"/>
              </w:rPr>
            </w:pPr>
            <w:r w:rsidRPr="0062348C">
              <w:rPr>
                <w:rStyle w:val="Strong"/>
                <w:rFonts w:ascii="Arial" w:hAnsi="Arial" w:cs="Arial"/>
                <w:b w:val="0"/>
                <w:bCs w:val="0"/>
                <w:sz w:val="20"/>
                <w:szCs w:val="20"/>
              </w:rPr>
              <w:t>T-Mobile – Cathie Capita</w:t>
            </w:r>
          </w:p>
          <w:p w:rsidR="00F60D62" w:rsidRPr="0062348C" w:rsidRDefault="00F60D62" w:rsidP="00F60D62">
            <w:pPr>
              <w:rPr>
                <w:rStyle w:val="Strong"/>
                <w:rFonts w:ascii="Arial" w:hAnsi="Arial" w:cs="Arial"/>
                <w:b w:val="0"/>
                <w:bCs w:val="0"/>
                <w:sz w:val="20"/>
                <w:szCs w:val="20"/>
              </w:rPr>
            </w:pPr>
            <w:r w:rsidRPr="0062348C">
              <w:rPr>
                <w:rStyle w:val="Strong"/>
                <w:rFonts w:ascii="Arial" w:hAnsi="Arial" w:cs="Arial"/>
                <w:b w:val="0"/>
                <w:bCs w:val="0"/>
                <w:sz w:val="20"/>
                <w:szCs w:val="20"/>
              </w:rPr>
              <w:t>Verizon Communications – Laura Dalton</w:t>
            </w:r>
          </w:p>
          <w:p w:rsidR="00AF11A1" w:rsidRPr="00B27F8F" w:rsidRDefault="00AF11A1" w:rsidP="00F60D62">
            <w:pPr>
              <w:rPr>
                <w:rStyle w:val="Strong"/>
                <w:rFonts w:ascii="Arial" w:hAnsi="Arial" w:cs="Arial"/>
                <w:b w:val="0"/>
                <w:bCs w:val="0"/>
                <w:sz w:val="20"/>
                <w:szCs w:val="20"/>
              </w:rPr>
            </w:pPr>
            <w:r w:rsidRPr="0062348C">
              <w:rPr>
                <w:rStyle w:val="Strong"/>
                <w:rFonts w:ascii="Arial" w:hAnsi="Arial" w:cs="Arial"/>
                <w:b w:val="0"/>
                <w:bCs w:val="0"/>
                <w:sz w:val="20"/>
                <w:szCs w:val="20"/>
              </w:rPr>
              <w:t>Verizon Wireless – Dana Crandall</w:t>
            </w:r>
          </w:p>
          <w:p w:rsidR="00F60D62" w:rsidRPr="00BF4543" w:rsidRDefault="00F60D62" w:rsidP="00557C4E">
            <w:pPr>
              <w:rPr>
                <w:rStyle w:val="Strong"/>
                <w:rFonts w:ascii="Arial" w:hAnsi="Arial" w:cs="Arial"/>
                <w:b w:val="0"/>
                <w:bCs w:val="0"/>
                <w:sz w:val="20"/>
                <w:szCs w:val="20"/>
              </w:rPr>
            </w:pPr>
          </w:p>
          <w:p w:rsidR="00BD5DA3" w:rsidRPr="00BF4543" w:rsidRDefault="00BD5DA3" w:rsidP="004F0CFE">
            <w:pPr>
              <w:rPr>
                <w:rStyle w:val="Strong"/>
                <w:rFonts w:ascii="Arial" w:hAnsi="Arial" w:cs="Arial"/>
                <w:b w:val="0"/>
                <w:bCs w:val="0"/>
                <w:color w:val="BFBFBF"/>
                <w:sz w:val="20"/>
                <w:szCs w:val="20"/>
              </w:rPr>
            </w:pPr>
          </w:p>
        </w:tc>
        <w:tc>
          <w:tcPr>
            <w:tcW w:w="4397" w:type="dxa"/>
          </w:tcPr>
          <w:p w:rsidR="00F60D62" w:rsidRPr="0062348C" w:rsidRDefault="00F60D62" w:rsidP="00F60D62">
            <w:pPr>
              <w:ind w:left="60"/>
              <w:rPr>
                <w:rFonts w:ascii="Arial" w:hAnsi="Arial" w:cs="Arial"/>
                <w:sz w:val="20"/>
                <w:szCs w:val="20"/>
              </w:rPr>
            </w:pPr>
            <w:r w:rsidRPr="0062348C">
              <w:rPr>
                <w:rFonts w:ascii="Arial" w:hAnsi="Arial" w:cs="Arial"/>
                <w:sz w:val="20"/>
                <w:szCs w:val="20"/>
              </w:rPr>
              <w:t>Bruce Armstrong</w:t>
            </w:r>
          </w:p>
          <w:p w:rsidR="00F3717D" w:rsidRPr="0062348C" w:rsidRDefault="00F3717D" w:rsidP="00F60D62">
            <w:pPr>
              <w:ind w:left="60"/>
              <w:rPr>
                <w:rFonts w:ascii="Arial" w:hAnsi="Arial" w:cs="Arial"/>
                <w:sz w:val="20"/>
                <w:szCs w:val="20"/>
              </w:rPr>
            </w:pPr>
            <w:r w:rsidRPr="0062348C">
              <w:rPr>
                <w:rFonts w:ascii="Arial" w:hAnsi="Arial" w:cs="Arial"/>
                <w:sz w:val="20"/>
                <w:szCs w:val="20"/>
              </w:rPr>
              <w:t>Tara Farquhar</w:t>
            </w:r>
          </w:p>
          <w:p w:rsidR="00B60E81" w:rsidRPr="0062348C" w:rsidRDefault="00B60E81" w:rsidP="00F60D62">
            <w:pPr>
              <w:ind w:left="60"/>
              <w:rPr>
                <w:rFonts w:ascii="Arial" w:hAnsi="Arial" w:cs="Arial"/>
                <w:sz w:val="20"/>
                <w:szCs w:val="20"/>
              </w:rPr>
            </w:pPr>
            <w:r w:rsidRPr="0062348C">
              <w:rPr>
                <w:rFonts w:ascii="Arial" w:hAnsi="Arial" w:cs="Arial"/>
                <w:sz w:val="20"/>
                <w:szCs w:val="20"/>
              </w:rPr>
              <w:t>Dara Flowers</w:t>
            </w:r>
          </w:p>
          <w:p w:rsidR="00F60D62" w:rsidRPr="0062348C" w:rsidRDefault="00F60D62" w:rsidP="00F60D62">
            <w:pPr>
              <w:ind w:left="60"/>
              <w:rPr>
                <w:rFonts w:ascii="Arial" w:hAnsi="Arial" w:cs="Arial"/>
                <w:sz w:val="20"/>
                <w:szCs w:val="20"/>
              </w:rPr>
            </w:pPr>
            <w:r w:rsidRPr="0062348C">
              <w:rPr>
                <w:rFonts w:ascii="Arial" w:hAnsi="Arial" w:cs="Arial"/>
                <w:sz w:val="20"/>
                <w:szCs w:val="20"/>
              </w:rPr>
              <w:t>Linda Hymans</w:t>
            </w:r>
          </w:p>
          <w:p w:rsidR="00F60D62" w:rsidRPr="0062348C" w:rsidRDefault="00F60D62" w:rsidP="00F60D62">
            <w:pPr>
              <w:ind w:left="60"/>
              <w:rPr>
                <w:rFonts w:ascii="Arial" w:hAnsi="Arial" w:cs="Arial"/>
                <w:sz w:val="20"/>
                <w:szCs w:val="20"/>
              </w:rPr>
            </w:pPr>
            <w:r w:rsidRPr="0062348C">
              <w:rPr>
                <w:rFonts w:ascii="Arial" w:hAnsi="Arial" w:cs="Arial"/>
                <w:sz w:val="20"/>
                <w:szCs w:val="20"/>
              </w:rPr>
              <w:t>Amy Putnam</w:t>
            </w:r>
          </w:p>
          <w:p w:rsidR="00F60D62" w:rsidRPr="0062348C" w:rsidRDefault="00F60D62" w:rsidP="00F60D62">
            <w:pPr>
              <w:ind w:left="60"/>
              <w:rPr>
                <w:rFonts w:ascii="Arial" w:hAnsi="Arial" w:cs="Arial"/>
                <w:sz w:val="20"/>
                <w:szCs w:val="20"/>
              </w:rPr>
            </w:pPr>
            <w:r w:rsidRPr="0062348C">
              <w:rPr>
                <w:rFonts w:ascii="Arial" w:hAnsi="Arial" w:cs="Arial"/>
                <w:sz w:val="20"/>
                <w:szCs w:val="20"/>
              </w:rPr>
              <w:t>Shannon Sevigny</w:t>
            </w:r>
          </w:p>
          <w:p w:rsidR="00AF11A1" w:rsidRPr="00BF4543" w:rsidRDefault="00AF11A1" w:rsidP="00F60D62">
            <w:pPr>
              <w:ind w:left="60"/>
              <w:rPr>
                <w:rFonts w:ascii="Arial" w:hAnsi="Arial" w:cs="Arial"/>
                <w:sz w:val="20"/>
                <w:szCs w:val="20"/>
              </w:rPr>
            </w:pPr>
            <w:r w:rsidRPr="0062348C">
              <w:rPr>
                <w:rFonts w:ascii="Arial" w:hAnsi="Arial" w:cs="Arial"/>
                <w:sz w:val="20"/>
                <w:szCs w:val="20"/>
              </w:rPr>
              <w:t>Gary Zahn</w:t>
            </w:r>
          </w:p>
          <w:p w:rsidR="00636120" w:rsidRPr="00BF4543" w:rsidRDefault="00636120" w:rsidP="00A04D15">
            <w:pPr>
              <w:ind w:left="60"/>
              <w:rPr>
                <w:rStyle w:val="Strong"/>
                <w:rFonts w:ascii="Arial" w:hAnsi="Arial" w:cs="Arial"/>
                <w:b w:val="0"/>
                <w:sz w:val="20"/>
                <w:szCs w:val="20"/>
              </w:rPr>
            </w:pPr>
          </w:p>
          <w:p w:rsidR="00BD5DA3" w:rsidRPr="00BF4543" w:rsidRDefault="00BD5DA3" w:rsidP="00A04D15">
            <w:pPr>
              <w:ind w:left="60"/>
              <w:rPr>
                <w:rStyle w:val="Strong"/>
                <w:rFonts w:ascii="Arial" w:hAnsi="Arial" w:cs="Arial"/>
                <w:b w:val="0"/>
                <w:sz w:val="20"/>
                <w:szCs w:val="20"/>
              </w:rPr>
            </w:pPr>
          </w:p>
          <w:p w:rsidR="00A84687" w:rsidRPr="00BF4543"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C33A6D">
        <w:rPr>
          <w:rFonts w:ascii="Arial" w:hAnsi="Arial" w:cs="Arial"/>
          <w:b/>
          <w:sz w:val="20"/>
          <w:szCs w:val="20"/>
        </w:rPr>
        <w:t>November</w:t>
      </w:r>
      <w:r w:rsidR="002E593D">
        <w:rPr>
          <w:rFonts w:ascii="Arial" w:hAnsi="Arial" w:cs="Arial"/>
          <w:b/>
          <w:sz w:val="20"/>
          <w:szCs w:val="20"/>
        </w:rPr>
        <w:t>,</w:t>
      </w:r>
      <w:r w:rsidR="0004636E">
        <w:rPr>
          <w:rFonts w:ascii="Arial" w:hAnsi="Arial" w:cs="Arial"/>
          <w:b/>
          <w:sz w:val="20"/>
          <w:szCs w:val="20"/>
        </w:rPr>
        <w:t xml:space="preserve">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0E660B" w:rsidP="00C33A6D">
            <w:pPr>
              <w:rPr>
                <w:rFonts w:ascii="Arial" w:hAnsi="Arial" w:cs="Arial"/>
                <w:sz w:val="20"/>
                <w:szCs w:val="20"/>
              </w:rPr>
            </w:pPr>
            <w:r>
              <w:rPr>
                <w:rFonts w:ascii="Arial" w:hAnsi="Arial" w:cs="Arial"/>
                <w:sz w:val="20"/>
                <w:szCs w:val="20"/>
              </w:rPr>
              <w:t>1,</w:t>
            </w:r>
            <w:r w:rsidR="002F0F28">
              <w:rPr>
                <w:rFonts w:ascii="Arial" w:hAnsi="Arial" w:cs="Arial"/>
                <w:sz w:val="20"/>
                <w:szCs w:val="20"/>
              </w:rPr>
              <w:t>4</w:t>
            </w:r>
            <w:r w:rsidR="00C33A6D">
              <w:rPr>
                <w:rFonts w:ascii="Arial" w:hAnsi="Arial" w:cs="Arial"/>
                <w:sz w:val="20"/>
                <w:szCs w:val="20"/>
              </w:rPr>
              <w:t>45</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2F0F28" w:rsidP="006753C2">
            <w:pPr>
              <w:rPr>
                <w:rFonts w:ascii="Arial" w:hAnsi="Arial" w:cs="Arial"/>
                <w:sz w:val="20"/>
                <w:szCs w:val="20"/>
              </w:rPr>
            </w:pPr>
            <w:r>
              <w:rPr>
                <w:rFonts w:ascii="Arial" w:hAnsi="Arial" w:cs="Arial"/>
                <w:sz w:val="20"/>
                <w:szCs w:val="20"/>
              </w:rPr>
              <w:t>931</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C33A6D" w:rsidP="001A5E69">
            <w:pPr>
              <w:rPr>
                <w:rFonts w:ascii="Arial" w:hAnsi="Arial" w:cs="Arial"/>
                <w:sz w:val="20"/>
                <w:szCs w:val="20"/>
              </w:rPr>
            </w:pPr>
            <w:r>
              <w:rPr>
                <w:rFonts w:ascii="Arial" w:hAnsi="Arial" w:cs="Arial"/>
                <w:sz w:val="20"/>
                <w:szCs w:val="20"/>
              </w:rPr>
              <w:t>299</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C33A6D" w:rsidP="00F60D62">
            <w:pPr>
              <w:rPr>
                <w:rFonts w:ascii="Arial" w:hAnsi="Arial" w:cs="Arial"/>
                <w:sz w:val="20"/>
                <w:szCs w:val="20"/>
              </w:rPr>
            </w:pPr>
            <w:r>
              <w:rPr>
                <w:rFonts w:ascii="Arial" w:hAnsi="Arial" w:cs="Arial"/>
                <w:sz w:val="20"/>
                <w:szCs w:val="20"/>
              </w:rPr>
              <w:t>580</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C33A6D" w:rsidP="00322D4A">
            <w:pPr>
              <w:rPr>
                <w:rFonts w:ascii="Arial" w:hAnsi="Arial" w:cs="Arial"/>
                <w:sz w:val="20"/>
                <w:szCs w:val="20"/>
              </w:rPr>
            </w:pPr>
            <w:r>
              <w:rPr>
                <w:rFonts w:ascii="Arial" w:hAnsi="Arial" w:cs="Arial"/>
                <w:sz w:val="20"/>
                <w:szCs w:val="20"/>
              </w:rPr>
              <w:t>13,594</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C33A6D" w:rsidP="00E71FAE">
            <w:pPr>
              <w:rPr>
                <w:rFonts w:ascii="Arial" w:hAnsi="Arial" w:cs="Arial"/>
                <w:sz w:val="20"/>
                <w:szCs w:val="20"/>
              </w:rPr>
            </w:pPr>
            <w:r>
              <w:rPr>
                <w:rFonts w:ascii="Arial" w:hAnsi="Arial" w:cs="Arial"/>
                <w:sz w:val="20"/>
                <w:szCs w:val="20"/>
              </w:rPr>
              <w:t>540</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C33A6D" w:rsidP="00225869">
            <w:pPr>
              <w:rPr>
                <w:rFonts w:ascii="Arial" w:hAnsi="Arial" w:cs="Arial"/>
                <w:sz w:val="20"/>
                <w:szCs w:val="20"/>
              </w:rPr>
            </w:pPr>
            <w:r>
              <w:rPr>
                <w:rFonts w:ascii="Arial" w:hAnsi="Arial" w:cs="Arial"/>
                <w:sz w:val="20"/>
                <w:szCs w:val="20"/>
              </w:rPr>
              <w:t>80/367</w:t>
            </w:r>
          </w:p>
        </w:tc>
      </w:tr>
    </w:tbl>
    <w:p w:rsidR="004C256C" w:rsidRDefault="004C256C" w:rsidP="00BE00B0">
      <w:pPr>
        <w:rPr>
          <w:rFonts w:ascii="Arial" w:hAnsi="Arial" w:cs="Arial"/>
          <w:b/>
          <w:sz w:val="20"/>
          <w:szCs w:val="20"/>
        </w:rPr>
      </w:pPr>
    </w:p>
    <w:bookmarkStart w:id="3" w:name="_MON_1480161594"/>
    <w:bookmarkEnd w:id="3"/>
    <w:p w:rsidR="00D22809" w:rsidRPr="006C17F0" w:rsidRDefault="00C33A6D" w:rsidP="004C256C">
      <w:pPr>
        <w:ind w:left="-180"/>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484486818"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C33A6D" w:rsidRPr="006C17F0" w:rsidTr="00BE00B0">
        <w:tc>
          <w:tcPr>
            <w:tcW w:w="4518" w:type="dxa"/>
          </w:tcPr>
          <w:p w:rsidR="00C33A6D" w:rsidRPr="006C17F0" w:rsidRDefault="00C33A6D" w:rsidP="00A65827">
            <w:pPr>
              <w:rPr>
                <w:rFonts w:ascii="Arial" w:hAnsi="Arial" w:cs="Arial"/>
                <w:sz w:val="20"/>
                <w:szCs w:val="20"/>
              </w:rPr>
            </w:pPr>
            <w:r>
              <w:rPr>
                <w:rFonts w:ascii="Arial" w:hAnsi="Arial" w:cs="Arial"/>
                <w:sz w:val="20"/>
                <w:szCs w:val="20"/>
              </w:rPr>
              <w:t>December 2013</w:t>
            </w:r>
          </w:p>
        </w:tc>
        <w:tc>
          <w:tcPr>
            <w:tcW w:w="4338" w:type="dxa"/>
          </w:tcPr>
          <w:p w:rsidR="00C33A6D" w:rsidRDefault="00C33A6D" w:rsidP="00A65827">
            <w:pPr>
              <w:rPr>
                <w:rFonts w:ascii="Arial" w:hAnsi="Arial" w:cs="Arial"/>
                <w:sz w:val="20"/>
                <w:szCs w:val="20"/>
              </w:rPr>
            </w:pPr>
            <w:r>
              <w:rPr>
                <w:rFonts w:ascii="Arial" w:hAnsi="Arial" w:cs="Arial"/>
                <w:sz w:val="20"/>
                <w:szCs w:val="20"/>
              </w:rPr>
              <w:t>7,771</w:t>
            </w:r>
          </w:p>
        </w:tc>
      </w:tr>
      <w:tr w:rsidR="00C33A6D" w:rsidRPr="006C17F0" w:rsidTr="00BE00B0">
        <w:tc>
          <w:tcPr>
            <w:tcW w:w="4518" w:type="dxa"/>
          </w:tcPr>
          <w:p w:rsidR="00C33A6D" w:rsidRPr="006C17F0" w:rsidRDefault="00C33A6D" w:rsidP="00A65827">
            <w:pPr>
              <w:rPr>
                <w:rFonts w:ascii="Arial" w:hAnsi="Arial" w:cs="Arial"/>
                <w:sz w:val="20"/>
                <w:szCs w:val="20"/>
              </w:rPr>
            </w:pPr>
            <w:r>
              <w:rPr>
                <w:rFonts w:ascii="Arial" w:hAnsi="Arial" w:cs="Arial"/>
                <w:sz w:val="20"/>
                <w:szCs w:val="20"/>
              </w:rPr>
              <w:t>January 2014</w:t>
            </w:r>
          </w:p>
        </w:tc>
        <w:tc>
          <w:tcPr>
            <w:tcW w:w="4338" w:type="dxa"/>
          </w:tcPr>
          <w:p w:rsidR="00C33A6D" w:rsidRDefault="00C33A6D" w:rsidP="00A65827">
            <w:pPr>
              <w:rPr>
                <w:rFonts w:ascii="Arial" w:hAnsi="Arial" w:cs="Arial"/>
                <w:sz w:val="20"/>
                <w:szCs w:val="20"/>
              </w:rPr>
            </w:pPr>
            <w:r>
              <w:rPr>
                <w:rFonts w:ascii="Arial" w:hAnsi="Arial" w:cs="Arial"/>
                <w:sz w:val="20"/>
                <w:szCs w:val="20"/>
              </w:rPr>
              <w:t>8,069</w:t>
            </w:r>
          </w:p>
        </w:tc>
      </w:tr>
      <w:tr w:rsidR="00C33A6D" w:rsidRPr="006C17F0" w:rsidTr="00BE00B0">
        <w:tc>
          <w:tcPr>
            <w:tcW w:w="4518" w:type="dxa"/>
          </w:tcPr>
          <w:p w:rsidR="00C33A6D" w:rsidRPr="006C17F0" w:rsidRDefault="00C33A6D" w:rsidP="00A65827">
            <w:pPr>
              <w:rPr>
                <w:rFonts w:ascii="Arial" w:hAnsi="Arial" w:cs="Arial"/>
                <w:sz w:val="20"/>
                <w:szCs w:val="20"/>
              </w:rPr>
            </w:pPr>
            <w:r>
              <w:rPr>
                <w:rFonts w:ascii="Arial" w:hAnsi="Arial" w:cs="Arial"/>
                <w:sz w:val="20"/>
                <w:szCs w:val="20"/>
              </w:rPr>
              <w:t>February 2014</w:t>
            </w:r>
          </w:p>
        </w:tc>
        <w:tc>
          <w:tcPr>
            <w:tcW w:w="4338" w:type="dxa"/>
          </w:tcPr>
          <w:p w:rsidR="00C33A6D" w:rsidRDefault="00C33A6D" w:rsidP="00A65827">
            <w:pPr>
              <w:rPr>
                <w:rFonts w:ascii="Arial" w:hAnsi="Arial" w:cs="Arial"/>
                <w:sz w:val="20"/>
                <w:szCs w:val="20"/>
              </w:rPr>
            </w:pPr>
            <w:r>
              <w:rPr>
                <w:rFonts w:ascii="Arial" w:hAnsi="Arial" w:cs="Arial"/>
                <w:sz w:val="20"/>
                <w:szCs w:val="20"/>
              </w:rPr>
              <w:t>8,725</w:t>
            </w:r>
          </w:p>
        </w:tc>
      </w:tr>
      <w:tr w:rsidR="00C33A6D" w:rsidRPr="006C17F0" w:rsidTr="00BE00B0">
        <w:tc>
          <w:tcPr>
            <w:tcW w:w="4518" w:type="dxa"/>
          </w:tcPr>
          <w:p w:rsidR="00C33A6D" w:rsidRPr="006C17F0" w:rsidRDefault="00C33A6D" w:rsidP="00A65827">
            <w:pPr>
              <w:rPr>
                <w:rFonts w:ascii="Arial" w:hAnsi="Arial" w:cs="Arial"/>
                <w:sz w:val="20"/>
                <w:szCs w:val="20"/>
              </w:rPr>
            </w:pPr>
            <w:r>
              <w:rPr>
                <w:rFonts w:ascii="Arial" w:hAnsi="Arial" w:cs="Arial"/>
                <w:sz w:val="20"/>
                <w:szCs w:val="20"/>
              </w:rPr>
              <w:t>March 2014</w:t>
            </w:r>
          </w:p>
        </w:tc>
        <w:tc>
          <w:tcPr>
            <w:tcW w:w="4338" w:type="dxa"/>
          </w:tcPr>
          <w:p w:rsidR="00C33A6D" w:rsidRDefault="00C33A6D" w:rsidP="00A65827">
            <w:pPr>
              <w:rPr>
                <w:rFonts w:ascii="Arial" w:hAnsi="Arial" w:cs="Arial"/>
                <w:sz w:val="20"/>
                <w:szCs w:val="20"/>
              </w:rPr>
            </w:pPr>
            <w:r>
              <w:rPr>
                <w:rFonts w:ascii="Arial" w:hAnsi="Arial" w:cs="Arial"/>
                <w:sz w:val="20"/>
                <w:szCs w:val="20"/>
              </w:rPr>
              <w:t>9,422</w:t>
            </w:r>
          </w:p>
        </w:tc>
      </w:tr>
      <w:tr w:rsidR="00C33A6D" w:rsidRPr="006C17F0" w:rsidTr="00BE00B0">
        <w:trPr>
          <w:trHeight w:val="47"/>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April 2014</w:t>
            </w:r>
          </w:p>
        </w:tc>
        <w:tc>
          <w:tcPr>
            <w:tcW w:w="4338" w:type="dxa"/>
          </w:tcPr>
          <w:p w:rsidR="00C33A6D" w:rsidRDefault="00C33A6D" w:rsidP="00A65827">
            <w:pPr>
              <w:rPr>
                <w:rFonts w:ascii="Arial" w:hAnsi="Arial" w:cs="Arial"/>
                <w:sz w:val="20"/>
                <w:szCs w:val="20"/>
              </w:rPr>
            </w:pPr>
            <w:r>
              <w:rPr>
                <w:rFonts w:ascii="Arial" w:hAnsi="Arial" w:cs="Arial"/>
                <w:sz w:val="20"/>
                <w:szCs w:val="20"/>
              </w:rPr>
              <w:t>17,601</w:t>
            </w:r>
          </w:p>
        </w:tc>
      </w:tr>
      <w:tr w:rsidR="00C33A6D" w:rsidRPr="006C17F0" w:rsidTr="00BE00B0">
        <w:trPr>
          <w:trHeight w:val="143"/>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May 2014</w:t>
            </w:r>
          </w:p>
        </w:tc>
        <w:tc>
          <w:tcPr>
            <w:tcW w:w="4338" w:type="dxa"/>
          </w:tcPr>
          <w:p w:rsidR="00C33A6D" w:rsidRDefault="00C33A6D" w:rsidP="00A65827">
            <w:pPr>
              <w:rPr>
                <w:rFonts w:ascii="Arial" w:hAnsi="Arial" w:cs="Arial"/>
                <w:sz w:val="20"/>
                <w:szCs w:val="20"/>
              </w:rPr>
            </w:pPr>
            <w:r>
              <w:rPr>
                <w:rFonts w:ascii="Arial" w:hAnsi="Arial" w:cs="Arial"/>
                <w:sz w:val="20"/>
                <w:szCs w:val="20"/>
              </w:rPr>
              <w:t>8,977</w:t>
            </w:r>
          </w:p>
        </w:tc>
      </w:tr>
      <w:tr w:rsidR="00C33A6D" w:rsidRPr="006C17F0" w:rsidTr="00BE00B0">
        <w:trPr>
          <w:trHeight w:val="143"/>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June 2014</w:t>
            </w:r>
          </w:p>
        </w:tc>
        <w:tc>
          <w:tcPr>
            <w:tcW w:w="4338" w:type="dxa"/>
          </w:tcPr>
          <w:p w:rsidR="00C33A6D" w:rsidRDefault="00C33A6D" w:rsidP="00A65827">
            <w:pPr>
              <w:rPr>
                <w:rFonts w:ascii="Arial" w:hAnsi="Arial" w:cs="Arial"/>
                <w:sz w:val="20"/>
                <w:szCs w:val="20"/>
              </w:rPr>
            </w:pPr>
            <w:r>
              <w:rPr>
                <w:rFonts w:ascii="Arial" w:hAnsi="Arial" w:cs="Arial"/>
                <w:sz w:val="20"/>
                <w:szCs w:val="20"/>
              </w:rPr>
              <w:t>8,145</w:t>
            </w:r>
          </w:p>
        </w:tc>
      </w:tr>
      <w:tr w:rsidR="00C33A6D" w:rsidRPr="006C17F0" w:rsidTr="00BE00B0">
        <w:trPr>
          <w:trHeight w:val="143"/>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July 2014</w:t>
            </w:r>
          </w:p>
        </w:tc>
        <w:tc>
          <w:tcPr>
            <w:tcW w:w="4338" w:type="dxa"/>
          </w:tcPr>
          <w:p w:rsidR="00C33A6D" w:rsidRDefault="00C33A6D" w:rsidP="00A65827">
            <w:pPr>
              <w:rPr>
                <w:rFonts w:ascii="Arial" w:hAnsi="Arial" w:cs="Arial"/>
                <w:sz w:val="20"/>
                <w:szCs w:val="20"/>
              </w:rPr>
            </w:pPr>
            <w:r>
              <w:rPr>
                <w:rFonts w:ascii="Arial" w:hAnsi="Arial" w:cs="Arial"/>
                <w:sz w:val="20"/>
                <w:szCs w:val="20"/>
              </w:rPr>
              <w:t>10,493</w:t>
            </w:r>
          </w:p>
        </w:tc>
      </w:tr>
      <w:tr w:rsidR="00C33A6D" w:rsidRPr="006C17F0" w:rsidTr="00BE00B0">
        <w:trPr>
          <w:trHeight w:val="143"/>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August 2014</w:t>
            </w:r>
          </w:p>
        </w:tc>
        <w:tc>
          <w:tcPr>
            <w:tcW w:w="4338" w:type="dxa"/>
          </w:tcPr>
          <w:p w:rsidR="00C33A6D" w:rsidRDefault="00C33A6D" w:rsidP="00A65827">
            <w:pPr>
              <w:rPr>
                <w:rFonts w:ascii="Arial" w:hAnsi="Arial" w:cs="Arial"/>
                <w:sz w:val="20"/>
                <w:szCs w:val="20"/>
              </w:rPr>
            </w:pPr>
            <w:r>
              <w:rPr>
                <w:rFonts w:ascii="Arial" w:hAnsi="Arial" w:cs="Arial"/>
                <w:sz w:val="20"/>
                <w:szCs w:val="20"/>
              </w:rPr>
              <w:t>15,232</w:t>
            </w:r>
          </w:p>
        </w:tc>
      </w:tr>
      <w:tr w:rsidR="00C33A6D" w:rsidRPr="006C17F0" w:rsidTr="00BE00B0">
        <w:trPr>
          <w:trHeight w:val="143"/>
        </w:trPr>
        <w:tc>
          <w:tcPr>
            <w:tcW w:w="4518" w:type="dxa"/>
          </w:tcPr>
          <w:p w:rsidR="00C33A6D" w:rsidRPr="006C17F0" w:rsidRDefault="00C33A6D" w:rsidP="00A65827">
            <w:pPr>
              <w:rPr>
                <w:rFonts w:ascii="Arial" w:hAnsi="Arial" w:cs="Arial"/>
                <w:sz w:val="20"/>
                <w:szCs w:val="20"/>
              </w:rPr>
            </w:pPr>
            <w:r>
              <w:rPr>
                <w:rFonts w:ascii="Arial" w:hAnsi="Arial" w:cs="Arial"/>
                <w:sz w:val="20"/>
                <w:szCs w:val="20"/>
              </w:rPr>
              <w:t>September 2014</w:t>
            </w:r>
          </w:p>
        </w:tc>
        <w:tc>
          <w:tcPr>
            <w:tcW w:w="4338" w:type="dxa"/>
          </w:tcPr>
          <w:p w:rsidR="00C33A6D" w:rsidRDefault="00C33A6D" w:rsidP="00A65827">
            <w:pPr>
              <w:rPr>
                <w:rFonts w:ascii="Arial" w:hAnsi="Arial" w:cs="Arial"/>
                <w:sz w:val="20"/>
                <w:szCs w:val="20"/>
              </w:rPr>
            </w:pPr>
            <w:r>
              <w:rPr>
                <w:rFonts w:ascii="Arial" w:hAnsi="Arial" w:cs="Arial"/>
                <w:sz w:val="20"/>
                <w:szCs w:val="20"/>
              </w:rPr>
              <w:t>12,113</w:t>
            </w:r>
          </w:p>
        </w:tc>
      </w:tr>
      <w:tr w:rsidR="00C33A6D" w:rsidRPr="006C17F0" w:rsidTr="00BE00B0">
        <w:tc>
          <w:tcPr>
            <w:tcW w:w="4518" w:type="dxa"/>
          </w:tcPr>
          <w:p w:rsidR="00C33A6D" w:rsidRPr="006C17F0" w:rsidRDefault="00C33A6D" w:rsidP="00A65827">
            <w:pPr>
              <w:rPr>
                <w:rFonts w:ascii="Arial" w:hAnsi="Arial" w:cs="Arial"/>
                <w:sz w:val="20"/>
                <w:szCs w:val="20"/>
              </w:rPr>
            </w:pPr>
            <w:r>
              <w:rPr>
                <w:rFonts w:ascii="Arial" w:hAnsi="Arial" w:cs="Arial"/>
                <w:sz w:val="20"/>
                <w:szCs w:val="20"/>
              </w:rPr>
              <w:t>October 2014</w:t>
            </w:r>
          </w:p>
        </w:tc>
        <w:tc>
          <w:tcPr>
            <w:tcW w:w="4338" w:type="dxa"/>
          </w:tcPr>
          <w:p w:rsidR="00C33A6D" w:rsidRDefault="00C33A6D" w:rsidP="00A65827">
            <w:pPr>
              <w:rPr>
                <w:rFonts w:ascii="Arial" w:hAnsi="Arial" w:cs="Arial"/>
                <w:sz w:val="20"/>
                <w:szCs w:val="20"/>
              </w:rPr>
            </w:pPr>
            <w:r>
              <w:rPr>
                <w:rFonts w:ascii="Arial" w:hAnsi="Arial" w:cs="Arial"/>
                <w:sz w:val="20"/>
                <w:szCs w:val="20"/>
              </w:rPr>
              <w:t>15,849</w:t>
            </w:r>
          </w:p>
        </w:tc>
      </w:tr>
      <w:tr w:rsidR="00222500" w:rsidRPr="006C17F0" w:rsidTr="00BE00B0">
        <w:tc>
          <w:tcPr>
            <w:tcW w:w="4518" w:type="dxa"/>
          </w:tcPr>
          <w:p w:rsidR="00222500" w:rsidRPr="006C17F0" w:rsidRDefault="00C33A6D" w:rsidP="00826A3D">
            <w:pPr>
              <w:rPr>
                <w:rFonts w:ascii="Arial" w:hAnsi="Arial" w:cs="Arial"/>
                <w:sz w:val="20"/>
                <w:szCs w:val="20"/>
              </w:rPr>
            </w:pPr>
            <w:r>
              <w:rPr>
                <w:rFonts w:ascii="Arial" w:hAnsi="Arial" w:cs="Arial"/>
                <w:sz w:val="20"/>
                <w:szCs w:val="20"/>
              </w:rPr>
              <w:t>November 2014</w:t>
            </w:r>
          </w:p>
        </w:tc>
        <w:tc>
          <w:tcPr>
            <w:tcW w:w="4338" w:type="dxa"/>
          </w:tcPr>
          <w:p w:rsidR="00222500" w:rsidRDefault="00C33A6D" w:rsidP="00A466E0">
            <w:pPr>
              <w:rPr>
                <w:rFonts w:ascii="Arial" w:hAnsi="Arial" w:cs="Arial"/>
                <w:sz w:val="20"/>
                <w:szCs w:val="20"/>
              </w:rPr>
            </w:pPr>
            <w:r>
              <w:rPr>
                <w:rFonts w:ascii="Arial" w:hAnsi="Arial" w:cs="Arial"/>
                <w:sz w:val="20"/>
                <w:szCs w:val="20"/>
              </w:rPr>
              <w:t>13,954</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4C256C">
      <w:pPr>
        <w:pStyle w:val="ListParagraph"/>
        <w:numPr>
          <w:ilvl w:val="0"/>
          <w:numId w:val="38"/>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3C310A" w:rsidRDefault="00B60E81" w:rsidP="003C310A">
      <w:pPr>
        <w:rPr>
          <w:rFonts w:ascii="Arial" w:hAnsi="Arial" w:cs="Arial"/>
          <w:sz w:val="20"/>
          <w:szCs w:val="20"/>
        </w:rPr>
      </w:pPr>
      <w:bookmarkStart w:id="6" w:name="OLE_LINK5"/>
      <w:bookmarkStart w:id="7" w:name="OLE_LINK6"/>
      <w:r>
        <w:rPr>
          <w:rFonts w:ascii="Arial" w:hAnsi="Arial" w:cs="Arial"/>
          <w:sz w:val="20"/>
          <w:szCs w:val="20"/>
        </w:rPr>
        <w:t>There was no new NANC news.</w:t>
      </w:r>
    </w:p>
    <w:p w:rsidR="00C33A6D" w:rsidRDefault="00C33A6D"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INC read out (initial closure and new issues)</w:t>
      </w:r>
    </w:p>
    <w:p w:rsidR="005B0D9B" w:rsidRDefault="00C33A6D" w:rsidP="00C87A51">
      <w:pPr>
        <w:pStyle w:val="ListParagraph"/>
        <w:numPr>
          <w:ilvl w:val="0"/>
          <w:numId w:val="3"/>
        </w:numPr>
        <w:spacing w:before="120" w:after="120"/>
      </w:pPr>
      <w:bookmarkStart w:id="8" w:name="_Toc314561455"/>
      <w:bookmarkEnd w:id="6"/>
      <w:bookmarkEnd w:id="7"/>
      <w:r>
        <w:t>Following Pooling and p-ANI related issues went into Initial Closure at INC 139:</w:t>
      </w:r>
    </w:p>
    <w:p w:rsidR="00C33A6D" w:rsidRDefault="00C33A6D" w:rsidP="00C33A6D">
      <w:pPr>
        <w:pStyle w:val="ListParagraph"/>
        <w:numPr>
          <w:ilvl w:val="1"/>
          <w:numId w:val="3"/>
        </w:numPr>
        <w:spacing w:before="120" w:after="120"/>
      </w:pPr>
      <w:r>
        <w:t>Issue 784 – Updates to PSTN Activation Confirmation in the TBPAG</w:t>
      </w:r>
    </w:p>
    <w:p w:rsidR="00C33A6D" w:rsidRDefault="00C33A6D" w:rsidP="00C33A6D">
      <w:pPr>
        <w:pStyle w:val="ListParagraph"/>
        <w:numPr>
          <w:ilvl w:val="1"/>
          <w:numId w:val="3"/>
        </w:numPr>
        <w:spacing w:before="120" w:after="120"/>
      </w:pPr>
      <w:r>
        <w:t>Issue 785 – Removal of references to paper forms in the TBPAG and p-ANI Guidelines</w:t>
      </w:r>
    </w:p>
    <w:p w:rsidR="0070682C" w:rsidRDefault="0070682C"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C33A6D" w:rsidP="0036641D">
            <w:pPr>
              <w:jc w:val="right"/>
              <w:rPr>
                <w:rFonts w:ascii="Arial" w:eastAsia="Calibri" w:hAnsi="Arial" w:cs="Arial"/>
                <w:sz w:val="20"/>
                <w:szCs w:val="20"/>
              </w:rPr>
            </w:pPr>
            <w:r>
              <w:rPr>
                <w:rFonts w:ascii="Arial" w:eastAsia="Calibri" w:hAnsi="Arial" w:cs="Arial"/>
                <w:sz w:val="20"/>
                <w:szCs w:val="20"/>
              </w:rPr>
              <w:t>185</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837BC6"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C33A6D" w:rsidP="0004636E">
            <w:pPr>
              <w:jc w:val="right"/>
              <w:rPr>
                <w:rFonts w:ascii="Arial" w:eastAsia="Calibri" w:hAnsi="Arial" w:cs="Arial"/>
                <w:sz w:val="20"/>
                <w:szCs w:val="20"/>
              </w:rPr>
            </w:pPr>
            <w:r>
              <w:rPr>
                <w:rFonts w:ascii="Arial" w:eastAsia="Calibri" w:hAnsi="Arial" w:cs="Arial"/>
                <w:sz w:val="20"/>
                <w:szCs w:val="20"/>
              </w:rPr>
              <w:t>102</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C33A6D" w:rsidP="0004636E">
            <w:pPr>
              <w:jc w:val="right"/>
              <w:rPr>
                <w:rFonts w:ascii="Arial" w:eastAsia="Calibri" w:hAnsi="Arial" w:cs="Arial"/>
                <w:sz w:val="20"/>
                <w:szCs w:val="20"/>
              </w:rPr>
            </w:pPr>
            <w:r>
              <w:rPr>
                <w:rFonts w:ascii="Arial" w:eastAsia="Calibri" w:hAnsi="Arial" w:cs="Arial"/>
                <w:sz w:val="20"/>
                <w:szCs w:val="20"/>
              </w:rPr>
              <w:t>33</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C33A6D" w:rsidP="0004636E">
            <w:pPr>
              <w:jc w:val="right"/>
              <w:rPr>
                <w:rFonts w:ascii="Arial" w:eastAsia="Calibri" w:hAnsi="Arial" w:cs="Arial"/>
                <w:sz w:val="20"/>
                <w:szCs w:val="20"/>
              </w:rPr>
            </w:pPr>
            <w:r>
              <w:rPr>
                <w:rFonts w:ascii="Arial" w:eastAsia="Calibri" w:hAnsi="Arial" w:cs="Arial"/>
                <w:sz w:val="20"/>
                <w:szCs w:val="20"/>
              </w:rPr>
              <w:t>49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C33A6D" w:rsidP="0004636E">
            <w:pPr>
              <w:jc w:val="right"/>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C33A6D" w:rsidP="007F5551">
            <w:pPr>
              <w:jc w:val="right"/>
              <w:rPr>
                <w:rFonts w:ascii="Arial" w:eastAsia="Calibri" w:hAnsi="Arial" w:cs="Arial"/>
                <w:sz w:val="20"/>
                <w:szCs w:val="20"/>
              </w:rPr>
            </w:pPr>
            <w:r>
              <w:rPr>
                <w:rFonts w:ascii="Arial" w:eastAsia="Calibri" w:hAnsi="Arial" w:cs="Arial"/>
                <w:sz w:val="20"/>
                <w:szCs w:val="20"/>
              </w:rPr>
              <w:t>0</w:t>
            </w:r>
          </w:p>
        </w:tc>
      </w:tr>
    </w:tbl>
    <w:p w:rsidR="009F2659" w:rsidRDefault="009F2659" w:rsidP="004E7715">
      <w:pPr>
        <w:pStyle w:val="ListParagraph"/>
        <w:rPr>
          <w:rFonts w:ascii="Arial" w:hAnsi="Arial" w:cs="Arial"/>
          <w:sz w:val="20"/>
          <w:szCs w:val="20"/>
        </w:rPr>
      </w:pP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812788" w:rsidRPr="00812788" w:rsidRDefault="00812788" w:rsidP="00812788">
      <w:pPr>
        <w:rPr>
          <w:lang w:eastAsia="x-none"/>
        </w:rPr>
      </w:pPr>
      <w:bookmarkStart w:id="11" w:name="_Toc314561457"/>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C33A6D" w:rsidP="00384E6A">
      <w:pPr>
        <w:ind w:left="360"/>
        <w:rPr>
          <w:rFonts w:ascii="Arial" w:hAnsi="Arial" w:cs="Arial"/>
          <w:sz w:val="20"/>
          <w:szCs w:val="20"/>
        </w:rPr>
      </w:pPr>
      <w:r>
        <w:rPr>
          <w:rFonts w:ascii="Arial" w:hAnsi="Arial" w:cs="Arial"/>
          <w:sz w:val="20"/>
          <w:szCs w:val="20"/>
        </w:rPr>
        <w:t>November</w:t>
      </w:r>
      <w:r w:rsidR="00B87424">
        <w:rPr>
          <w:rFonts w:ascii="Arial" w:hAnsi="Arial" w:cs="Arial"/>
          <w:sz w:val="20"/>
          <w:szCs w:val="20"/>
        </w:rPr>
        <w:t xml:space="preserve"> </w:t>
      </w:r>
      <w:r w:rsidR="00201DFC">
        <w:rPr>
          <w:rFonts w:ascii="Arial" w:hAnsi="Arial" w:cs="Arial"/>
          <w:sz w:val="20"/>
          <w:szCs w:val="20"/>
        </w:rPr>
        <w:t xml:space="preserve">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77</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36641D">
        <w:rPr>
          <w:rFonts w:ascii="Arial" w:hAnsi="Arial" w:cs="Arial"/>
          <w:sz w:val="20"/>
          <w:szCs w:val="20"/>
        </w:rPr>
        <w:t xml:space="preserve"> </w:t>
      </w:r>
      <w:r>
        <w:rPr>
          <w:rFonts w:ascii="Arial" w:hAnsi="Arial" w:cs="Arial"/>
          <w:sz w:val="20"/>
          <w:szCs w:val="20"/>
        </w:rPr>
        <w:t>10</w:t>
      </w:r>
      <w:r w:rsidR="009F2659" w:rsidRPr="006C17F0">
        <w:rPr>
          <w:rFonts w:ascii="Arial" w:hAnsi="Arial" w:cs="Arial"/>
          <w:sz w:val="20"/>
          <w:szCs w:val="20"/>
        </w:rPr>
        <w:t xml:space="preserve"> NPAs and </w:t>
      </w:r>
      <w:r w:rsidR="00C87A51">
        <w:rPr>
          <w:rFonts w:ascii="Arial" w:hAnsi="Arial" w:cs="Arial"/>
          <w:sz w:val="20"/>
          <w:szCs w:val="20"/>
        </w:rPr>
        <w:t>4</w:t>
      </w:r>
      <w:r w:rsidR="00812788">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C33A6D">
        <w:t>69</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lastRenderedPageBreak/>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C33A6D">
        <w:t>2</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C33A6D">
        <w:t>6</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C214D7" w:rsidRDefault="00C87A51"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 xml:space="preserve">There were no NANPA relief meetings in </w:t>
      </w:r>
      <w:r w:rsidR="00C33A6D">
        <w:rPr>
          <w:rFonts w:ascii="Arial" w:hAnsi="Arial" w:cs="Arial"/>
          <w:sz w:val="20"/>
          <w:szCs w:val="20"/>
        </w:rPr>
        <w:t>November</w:t>
      </w:r>
    </w:p>
    <w:p w:rsidR="00C214D7" w:rsidRPr="00C214D7" w:rsidRDefault="00C214D7"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667AF3" w:rsidRPr="00086F96" w:rsidRDefault="00C87A51" w:rsidP="00E20F1B">
      <w:pPr>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sz w:val="20"/>
          <w:szCs w:val="20"/>
        </w:rPr>
        <w:t xml:space="preserve">NANPA did not request any pooling data in </w:t>
      </w:r>
      <w:r w:rsidR="00C33A6D">
        <w:rPr>
          <w:rFonts w:ascii="Arial" w:hAnsi="Arial" w:cs="Arial"/>
          <w:sz w:val="20"/>
          <w:szCs w:val="20"/>
        </w:rPr>
        <w:t>November</w:t>
      </w:r>
    </w:p>
    <w:p w:rsidR="00E20F1B" w:rsidRPr="00BA43B4" w:rsidRDefault="00E20F1B" w:rsidP="00E20F1B">
      <w:pPr>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C87A51" w:rsidRDefault="00891E56" w:rsidP="00C87A51">
      <w:pPr>
        <w:pStyle w:val="ListParagraph"/>
        <w:numPr>
          <w:ilvl w:val="0"/>
          <w:numId w:val="4"/>
        </w:numPr>
        <w:tabs>
          <w:tab w:val="clear" w:pos="1080"/>
          <w:tab w:val="num" w:pos="990"/>
        </w:tabs>
        <w:ind w:left="360"/>
        <w:rPr>
          <w:rFonts w:ascii="Arial" w:hAnsi="Arial" w:cs="Arial"/>
          <w:bCs/>
          <w:kern w:val="32"/>
          <w:sz w:val="20"/>
          <w:szCs w:val="20"/>
        </w:rPr>
      </w:pPr>
      <w:r>
        <w:rPr>
          <w:rFonts w:ascii="Arial" w:hAnsi="Arial" w:cs="Arial"/>
          <w:bCs/>
          <w:kern w:val="32"/>
          <w:sz w:val="20"/>
          <w:szCs w:val="20"/>
        </w:rPr>
        <w:t>The PA and NANPA have been watching 3 area codes (Idaho 208, Montana 406, and Nebraska 308) as they have had a high forecast demand.  In Idaho there is a forecast to open 62 codes with only 45 codes left and in Montana, there is a forecasted demand of 78 codes with 82 codes left.  In Nebraska</w:t>
      </w:r>
      <w:r w:rsidR="0062348C">
        <w:rPr>
          <w:rFonts w:ascii="Arial" w:hAnsi="Arial" w:cs="Arial"/>
          <w:bCs/>
          <w:kern w:val="32"/>
          <w:sz w:val="20"/>
          <w:szCs w:val="20"/>
        </w:rPr>
        <w:t xml:space="preserve"> there is a high forecast demand in the 308 NPA</w:t>
      </w:r>
      <w:r w:rsidR="006F04B2">
        <w:rPr>
          <w:rFonts w:ascii="Arial" w:hAnsi="Arial" w:cs="Arial"/>
          <w:bCs/>
          <w:kern w:val="32"/>
          <w:sz w:val="20"/>
          <w:szCs w:val="20"/>
        </w:rPr>
        <w:t>.</w:t>
      </w:r>
    </w:p>
    <w:p w:rsidR="00E11D4F" w:rsidRPr="002B61CF" w:rsidRDefault="00E11D4F" w:rsidP="002B61CF">
      <w:pPr>
        <w:pStyle w:val="ListParagraph"/>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Send courtesy email to applicant requesting documentation or correct documentation.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6F04B2" w:rsidP="006E2FA8">
            <w:pPr>
              <w:rPr>
                <w:rFonts w:ascii="Arial" w:hAnsi="Arial" w:cs="Arial"/>
                <w:sz w:val="20"/>
                <w:szCs w:val="20"/>
              </w:rPr>
            </w:pPr>
            <w:r>
              <w:rPr>
                <w:rFonts w:ascii="Arial" w:hAnsi="Arial" w:cs="Arial"/>
                <w:sz w:val="20"/>
                <w:szCs w:val="20"/>
              </w:rPr>
              <w:t>Received a request for p-ANI for which the documentation was insufficient, and the carrier was having difficulties locating the correct document.</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6F04B2" w:rsidP="006E2FA8">
            <w:pPr>
              <w:rPr>
                <w:rFonts w:ascii="Arial" w:hAnsi="Arial" w:cs="Arial"/>
                <w:sz w:val="20"/>
                <w:szCs w:val="20"/>
              </w:rPr>
            </w:pPr>
            <w:r>
              <w:rPr>
                <w:rFonts w:ascii="Arial" w:hAnsi="Arial" w:cs="Arial"/>
                <w:sz w:val="20"/>
                <w:szCs w:val="20"/>
              </w:rPr>
              <w:t>Found the proper documentation and provided it to the carrier.</w:t>
            </w:r>
          </w:p>
        </w:tc>
      </w:tr>
    </w:tbl>
    <w:p w:rsidR="003D5B03" w:rsidRDefault="003D5B03" w:rsidP="009E04FE">
      <w:pPr>
        <w:rPr>
          <w:rFonts w:ascii="Arial" w:hAnsi="Arial" w:cs="Arial"/>
          <w:b/>
          <w:bCs/>
          <w:kern w:val="32"/>
          <w:sz w:val="20"/>
          <w:szCs w:val="20"/>
        </w:rPr>
      </w:pPr>
    </w:p>
    <w:p w:rsidR="00CE3929" w:rsidRDefault="00CE3929"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3D5B03"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F04B2">
            <w:pPr>
              <w:rPr>
                <w:rFonts w:ascii="Arial" w:hAnsi="Arial" w:cs="Arial"/>
                <w:sz w:val="20"/>
                <w:szCs w:val="20"/>
              </w:rPr>
            </w:pPr>
            <w:r w:rsidRPr="003D5B03">
              <w:rPr>
                <w:rFonts w:ascii="Arial" w:hAnsi="Arial" w:cs="Arial"/>
                <w:sz w:val="20"/>
                <w:szCs w:val="20"/>
              </w:rPr>
              <w:t xml:space="preserve">A state commission staff person asked </w:t>
            </w:r>
            <w:r w:rsidR="006F04B2">
              <w:rPr>
                <w:rFonts w:ascii="Arial" w:hAnsi="Arial" w:cs="Arial"/>
                <w:sz w:val="20"/>
                <w:szCs w:val="20"/>
              </w:rPr>
              <w:t>for basic information on pooling process terminology and how to read the daily activity report.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6F04B2" w:rsidP="006E2FA8">
            <w:pPr>
              <w:rPr>
                <w:rFonts w:ascii="Arial" w:hAnsi="Arial" w:cs="Arial"/>
                <w:sz w:val="20"/>
                <w:szCs w:val="20"/>
              </w:rPr>
            </w:pPr>
            <w:r>
              <w:rPr>
                <w:rFonts w:ascii="Arial" w:hAnsi="Arial" w:cs="Arial"/>
                <w:sz w:val="20"/>
                <w:szCs w:val="20"/>
              </w:rPr>
              <w:t>Explained the daily activity report columns to the staff person and also provided information on basic pooling terminology.;</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872E20" w:rsidRDefault="00887501" w:rsidP="00872E20">
      <w:pPr>
        <w:pStyle w:val="ListParagraph"/>
        <w:numPr>
          <w:ilvl w:val="0"/>
          <w:numId w:val="4"/>
        </w:numPr>
        <w:tabs>
          <w:tab w:val="clear" w:pos="1080"/>
          <w:tab w:val="left" w:pos="360"/>
          <w:tab w:val="num" w:pos="720"/>
        </w:tabs>
        <w:ind w:left="360"/>
        <w:rPr>
          <w:lang w:eastAsia="x-none"/>
        </w:rPr>
      </w:pPr>
      <w:r>
        <w:rPr>
          <w:lang w:eastAsia="x-none"/>
        </w:rPr>
        <w:t>None</w:t>
      </w:r>
    </w:p>
    <w:p w:rsidR="003715A3" w:rsidRDefault="003715A3" w:rsidP="003715A3">
      <w:pPr>
        <w:rPr>
          <w:lang w:eastAsia="x-none"/>
        </w:rPr>
      </w:pPr>
    </w:p>
    <w:bookmarkEnd w:id="13"/>
    <w:p w:rsidR="00C84A68" w:rsidRDefault="00DF795F" w:rsidP="00C84A68">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C4255D" w:rsidRPr="0062348C" w:rsidRDefault="0062348C" w:rsidP="00C84A68">
      <w:pPr>
        <w:pStyle w:val="ListParagraph"/>
        <w:ind w:left="0"/>
        <w:rPr>
          <w:rFonts w:ascii="Arial" w:hAnsi="Arial" w:cs="Arial"/>
          <w:color w:val="000000"/>
          <w:sz w:val="20"/>
          <w:szCs w:val="20"/>
        </w:rPr>
      </w:pPr>
      <w:r>
        <w:rPr>
          <w:rFonts w:ascii="Arial" w:hAnsi="Arial" w:cs="Arial"/>
          <w:color w:val="000000"/>
          <w:sz w:val="20"/>
          <w:szCs w:val="20"/>
        </w:rPr>
        <w:t>The new PAS is scheduled to be rolled out the weekend of January 10, 2015.  In preparation for the rollout, there will be training for the regulators on January 6, 2015 and for the service providers/consultants on January 7 and 8, 2015.</w:t>
      </w:r>
    </w:p>
    <w:p w:rsidR="0062348C" w:rsidRDefault="00662A95" w:rsidP="00C84A68">
      <w:pPr>
        <w:pStyle w:val="ListParagraph"/>
        <w:ind w:left="0"/>
        <w:rPr>
          <w:rFonts w:ascii="Arial" w:hAnsi="Arial" w:cs="Arial"/>
          <w:color w:val="000000"/>
          <w:sz w:val="20"/>
          <w:szCs w:val="20"/>
        </w:rPr>
      </w:pPr>
      <w:r>
        <w:rPr>
          <w:rFonts w:ascii="Arial" w:hAnsi="Arial" w:cs="Arial"/>
          <w:color w:val="000000"/>
          <w:sz w:val="20"/>
          <w:szCs w:val="20"/>
        </w:rPr>
        <w:t>In the new PAS, it was noted that for Grandfathered codes the OCN that is assigned the Grandfathered codes will only be able to disconnect or make modifications to the Grandfathered codes.  Other carriers will not have visibility to the rate centers of the Grandfathered codes.</w:t>
      </w:r>
    </w:p>
    <w:p w:rsidR="0062348C" w:rsidRDefault="0062348C" w:rsidP="00C84A68">
      <w:pPr>
        <w:pStyle w:val="ListParagraph"/>
        <w:ind w:left="0"/>
        <w:rPr>
          <w:rFonts w:ascii="Arial" w:hAnsi="Arial" w:cs="Arial"/>
          <w:color w:val="000000"/>
          <w:sz w:val="20"/>
          <w:szCs w:val="20"/>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6B3139" w:rsidP="00060D62">
      <w:pPr>
        <w:rPr>
          <w:rFonts w:ascii="Arial" w:hAnsi="Arial" w:cs="Arial"/>
          <w:sz w:val="20"/>
          <w:szCs w:val="20"/>
        </w:rPr>
      </w:pPr>
      <w:r>
        <w:rPr>
          <w:rFonts w:ascii="Arial" w:hAnsi="Arial" w:cs="Arial"/>
          <w:sz w:val="20"/>
          <w:szCs w:val="20"/>
        </w:rPr>
        <w:t>N/A</w:t>
      </w: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887501" w:rsidP="00AB5D6B">
      <w:pPr>
        <w:numPr>
          <w:ilvl w:val="0"/>
          <w:numId w:val="3"/>
        </w:numPr>
        <w:rPr>
          <w:rFonts w:ascii="Arial" w:hAnsi="Arial" w:cs="Arial"/>
          <w:sz w:val="20"/>
          <w:szCs w:val="20"/>
        </w:rPr>
      </w:pPr>
      <w:r>
        <w:rPr>
          <w:rFonts w:ascii="Arial" w:hAnsi="Arial" w:cs="Arial"/>
          <w:sz w:val="20"/>
          <w:szCs w:val="20"/>
        </w:rPr>
        <w:t>January 16</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0"/>
      <w:footerReference w:type="default" r:id="rId11"/>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5A" w:rsidRDefault="00373A5A">
      <w:r>
        <w:separator/>
      </w:r>
    </w:p>
  </w:endnote>
  <w:endnote w:type="continuationSeparator" w:id="0">
    <w:p w:rsidR="00373A5A" w:rsidRDefault="0037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381228">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381228">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5A" w:rsidRDefault="00373A5A">
      <w:r>
        <w:separator/>
      </w:r>
    </w:p>
  </w:footnote>
  <w:footnote w:type="continuationSeparator" w:id="0">
    <w:p w:rsidR="00373A5A" w:rsidRDefault="0037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C33A6D" w:rsidP="00FA5398">
    <w:pPr>
      <w:jc w:val="center"/>
      <w:rPr>
        <w:rStyle w:val="Strong"/>
        <w:rFonts w:ascii="Arial" w:hAnsi="Arial" w:cs="Arial"/>
        <w:sz w:val="20"/>
        <w:szCs w:val="20"/>
      </w:rPr>
    </w:pPr>
    <w:r>
      <w:rPr>
        <w:rStyle w:val="Strong"/>
        <w:rFonts w:ascii="Arial" w:hAnsi="Arial" w:cs="Arial"/>
        <w:sz w:val="20"/>
        <w:szCs w:val="20"/>
      </w:rPr>
      <w:t>December 16</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BF1"/>
    <w:multiLevelType w:val="hybridMultilevel"/>
    <w:tmpl w:val="3A8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2149F"/>
    <w:multiLevelType w:val="hybridMultilevel"/>
    <w:tmpl w:val="2CC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83578"/>
    <w:multiLevelType w:val="multilevel"/>
    <w:tmpl w:val="C9265CB2"/>
    <w:lvl w:ilvl="0">
      <w:start w:val="1"/>
      <w:numFmt w:val="bullet"/>
      <w:lvlText w:val=""/>
      <w:lvlJc w:val="left"/>
      <w:pPr>
        <w:ind w:left="1080" w:hanging="360"/>
      </w:pPr>
      <w:rPr>
        <w:rFonts w:ascii="Symbol" w:hAnsi="Symbol" w:hint="default"/>
        <w:b/>
        <w:i w:val="0"/>
      </w:rPr>
    </w:lvl>
    <w:lvl w:ilvl="1">
      <w:start w:val="1"/>
      <w:numFmt w:val="bullet"/>
      <w:lvlText w:val=""/>
      <w:lvlJc w:val="left"/>
      <w:pPr>
        <w:ind w:left="1512" w:hanging="72"/>
      </w:pPr>
      <w:rPr>
        <w:rFonts w:ascii="Symbol" w:hAnsi="Symbol" w:hint="default"/>
        <w:i w:val="0"/>
      </w:rPr>
    </w:lvl>
    <w:lvl w:ilvl="2">
      <w:start w:val="1"/>
      <w:numFmt w:val="bullet"/>
      <w:lvlText w:val=""/>
      <w:lvlJc w:val="left"/>
      <w:pPr>
        <w:ind w:left="1944" w:hanging="504"/>
      </w:pPr>
      <w:rPr>
        <w:rFonts w:ascii="Symbol" w:hAnsi="Symbol" w:hint="default"/>
        <w:color w:val="auto"/>
      </w:rPr>
    </w:lvl>
    <w:lvl w:ilvl="3">
      <w:start w:val="1"/>
      <w:numFmt w:val="bullet"/>
      <w:lvlText w:val="o"/>
      <w:lvlJc w:val="left"/>
      <w:pPr>
        <w:ind w:left="2448" w:hanging="648"/>
      </w:pPr>
      <w:rPr>
        <w:rFonts w:ascii="Courier New" w:hAnsi="Courier New" w:cs="Courier New" w:hint="default"/>
      </w:r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bullet"/>
      <w:lvlText w:val=""/>
      <w:lvlJc w:val="left"/>
      <w:pPr>
        <w:ind w:left="3960" w:hanging="1080"/>
      </w:pPr>
      <w:rPr>
        <w:rFonts w:ascii="Symbol" w:hAnsi="Symbol" w:hint="default"/>
      </w:rPr>
    </w:lvl>
    <w:lvl w:ilvl="7">
      <w:start w:val="1"/>
      <w:numFmt w:val="bullet"/>
      <w:lvlText w:val="o"/>
      <w:lvlJc w:val="left"/>
      <w:pPr>
        <w:ind w:left="4464" w:hanging="1224"/>
      </w:pPr>
      <w:rPr>
        <w:rFonts w:ascii="Courier New" w:hAnsi="Courier New" w:cs="Courier New" w:hint="default"/>
      </w:rPr>
    </w:lvl>
    <w:lvl w:ilvl="8">
      <w:start w:val="1"/>
      <w:numFmt w:val="bullet"/>
      <w:lvlText w:val=""/>
      <w:lvlJc w:val="left"/>
      <w:pPr>
        <w:ind w:left="5040" w:hanging="1440"/>
      </w:pPr>
      <w:rPr>
        <w:rFonts w:ascii="Wingdings" w:hAnsi="Wingdings" w:hint="default"/>
      </w:rPr>
    </w:lvl>
  </w:abstractNum>
  <w:abstractNum w:abstractNumId="9">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06C38"/>
    <w:multiLevelType w:val="hybridMultilevel"/>
    <w:tmpl w:val="CBF0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5A383F"/>
    <w:multiLevelType w:val="hybridMultilevel"/>
    <w:tmpl w:val="ED905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5724AF"/>
    <w:multiLevelType w:val="hybridMultilevel"/>
    <w:tmpl w:val="6B32B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C8D2288"/>
    <w:multiLevelType w:val="hybridMultilevel"/>
    <w:tmpl w:val="F7E4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4AF23C9"/>
    <w:multiLevelType w:val="hybridMultilevel"/>
    <w:tmpl w:val="AD46E23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D3B3C6C"/>
    <w:multiLevelType w:val="hybridMultilevel"/>
    <w:tmpl w:val="F704D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6"/>
  </w:num>
  <w:num w:numId="4">
    <w:abstractNumId w:val="18"/>
  </w:num>
  <w:num w:numId="5">
    <w:abstractNumId w:val="34"/>
  </w:num>
  <w:num w:numId="6">
    <w:abstractNumId w:val="29"/>
  </w:num>
  <w:num w:numId="7">
    <w:abstractNumId w:val="30"/>
  </w:num>
  <w:num w:numId="8">
    <w:abstractNumId w:val="1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28"/>
  </w:num>
  <w:num w:numId="13">
    <w:abstractNumId w:val="38"/>
  </w:num>
  <w:num w:numId="14">
    <w:abstractNumId w:val="12"/>
  </w:num>
  <w:num w:numId="15">
    <w:abstractNumId w:val="19"/>
  </w:num>
  <w:num w:numId="16">
    <w:abstractNumId w:val="0"/>
  </w:num>
  <w:num w:numId="17">
    <w:abstractNumId w:val="23"/>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32"/>
  </w:num>
  <w:num w:numId="26">
    <w:abstractNumId w:val="22"/>
  </w:num>
  <w:num w:numId="27">
    <w:abstractNumId w:val="8"/>
  </w:num>
  <w:num w:numId="28">
    <w:abstractNumId w:val="21"/>
  </w:num>
  <w:num w:numId="29">
    <w:abstractNumId w:val="36"/>
  </w:num>
  <w:num w:numId="30">
    <w:abstractNumId w:val="20"/>
  </w:num>
  <w:num w:numId="31">
    <w:abstractNumId w:val="15"/>
  </w:num>
  <w:num w:numId="32">
    <w:abstractNumId w:val="11"/>
  </w:num>
  <w:num w:numId="33">
    <w:abstractNumId w:val="25"/>
  </w:num>
  <w:num w:numId="34">
    <w:abstractNumId w:val="9"/>
  </w:num>
  <w:num w:numId="35">
    <w:abstractNumId w:val="1"/>
  </w:num>
  <w:num w:numId="36">
    <w:abstractNumId w:val="17"/>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7"/>
  </w:num>
  <w:num w:numId="39">
    <w:abstractNumId w:val="14"/>
  </w:num>
  <w:num w:numId="40">
    <w:abstractNumId w:val="7"/>
  </w:num>
  <w:num w:numId="41">
    <w:abstractNumId w:val="10"/>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7409"/>
    <w:rsid w:val="000C7BCF"/>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660B"/>
    <w:rsid w:val="000E7386"/>
    <w:rsid w:val="000F057A"/>
    <w:rsid w:val="000F089B"/>
    <w:rsid w:val="000F10DA"/>
    <w:rsid w:val="000F1C09"/>
    <w:rsid w:val="000F2076"/>
    <w:rsid w:val="000F36DA"/>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487D"/>
    <w:rsid w:val="001D513E"/>
    <w:rsid w:val="001D54EF"/>
    <w:rsid w:val="001D66A1"/>
    <w:rsid w:val="001D715D"/>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1A0"/>
    <w:rsid w:val="00273F91"/>
    <w:rsid w:val="00274BAE"/>
    <w:rsid w:val="002801EB"/>
    <w:rsid w:val="0028088B"/>
    <w:rsid w:val="00281919"/>
    <w:rsid w:val="00281C13"/>
    <w:rsid w:val="002829A8"/>
    <w:rsid w:val="002839D4"/>
    <w:rsid w:val="00283E7C"/>
    <w:rsid w:val="00284DBD"/>
    <w:rsid w:val="002850EF"/>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5189"/>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3A5A"/>
    <w:rsid w:val="00374D1A"/>
    <w:rsid w:val="00377B3B"/>
    <w:rsid w:val="00380925"/>
    <w:rsid w:val="00380E83"/>
    <w:rsid w:val="00381228"/>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530E"/>
    <w:rsid w:val="003D5B03"/>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4F6"/>
    <w:rsid w:val="00440869"/>
    <w:rsid w:val="00441E4B"/>
    <w:rsid w:val="00442A55"/>
    <w:rsid w:val="00442EC2"/>
    <w:rsid w:val="0044462D"/>
    <w:rsid w:val="0044529F"/>
    <w:rsid w:val="00445828"/>
    <w:rsid w:val="004464B4"/>
    <w:rsid w:val="00446843"/>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CFE"/>
    <w:rsid w:val="004F11D3"/>
    <w:rsid w:val="004F211A"/>
    <w:rsid w:val="004F2323"/>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2A95"/>
    <w:rsid w:val="006641E7"/>
    <w:rsid w:val="0066553B"/>
    <w:rsid w:val="006669BC"/>
    <w:rsid w:val="00667380"/>
    <w:rsid w:val="00667AF3"/>
    <w:rsid w:val="006709EB"/>
    <w:rsid w:val="006712E9"/>
    <w:rsid w:val="006714D8"/>
    <w:rsid w:val="00672092"/>
    <w:rsid w:val="00673913"/>
    <w:rsid w:val="00674A12"/>
    <w:rsid w:val="006753C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4B2"/>
    <w:rsid w:val="006F0997"/>
    <w:rsid w:val="006F1DBB"/>
    <w:rsid w:val="006F2FAD"/>
    <w:rsid w:val="006F3192"/>
    <w:rsid w:val="006F3657"/>
    <w:rsid w:val="006F40F2"/>
    <w:rsid w:val="006F4862"/>
    <w:rsid w:val="006F5BDD"/>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37BC6"/>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66B0"/>
    <w:rsid w:val="008A7EB6"/>
    <w:rsid w:val="008B193C"/>
    <w:rsid w:val="008B2DB2"/>
    <w:rsid w:val="008B327D"/>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332C"/>
    <w:rsid w:val="009A3944"/>
    <w:rsid w:val="009A3DC9"/>
    <w:rsid w:val="009A4855"/>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604E"/>
    <w:rsid w:val="00A9790B"/>
    <w:rsid w:val="00AA033B"/>
    <w:rsid w:val="00AA17F1"/>
    <w:rsid w:val="00AA1F7B"/>
    <w:rsid w:val="00AA3438"/>
    <w:rsid w:val="00AA4707"/>
    <w:rsid w:val="00AA5E17"/>
    <w:rsid w:val="00AA6EB8"/>
    <w:rsid w:val="00AA716D"/>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3F8E"/>
    <w:rsid w:val="00AE4198"/>
    <w:rsid w:val="00AE5819"/>
    <w:rsid w:val="00AE5BE8"/>
    <w:rsid w:val="00AE7D76"/>
    <w:rsid w:val="00AF085E"/>
    <w:rsid w:val="00AF0E5E"/>
    <w:rsid w:val="00AF11A1"/>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7039"/>
    <w:rsid w:val="00C30293"/>
    <w:rsid w:val="00C30733"/>
    <w:rsid w:val="00C30B93"/>
    <w:rsid w:val="00C33201"/>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731D"/>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E1363"/>
    <w:rsid w:val="00CE2C6F"/>
    <w:rsid w:val="00CE3929"/>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C60"/>
    <w:rsid w:val="00DE2683"/>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5E9F"/>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488F"/>
    <w:rsid w:val="00FF5ADB"/>
    <w:rsid w:val="00FF5BD0"/>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5676</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2015-02-03T21:40:00Z</dcterms:created>
  <dcterms:modified xsi:type="dcterms:W3CDTF">2015-02-03T21:40:00Z</dcterms:modified>
</cp:coreProperties>
</file>