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927D30">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927D30">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927D30">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927D30">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927D30">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927D30">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927D30">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927D30">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927D30">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CF3D52">
        <w:tc>
          <w:tcPr>
            <w:tcW w:w="4788" w:type="dxa"/>
          </w:tcPr>
          <w:p w:rsidR="00F05C9F" w:rsidRPr="00F66AA7" w:rsidRDefault="00F05C9F" w:rsidP="000F7020">
            <w:pPr>
              <w:rPr>
                <w:rStyle w:val="Strong"/>
                <w:rFonts w:ascii="Arial" w:hAnsi="Arial" w:cs="Arial"/>
                <w:b w:val="0"/>
                <w:bCs w:val="0"/>
                <w:sz w:val="20"/>
                <w:szCs w:val="20"/>
              </w:rPr>
            </w:pPr>
            <w:r w:rsidRPr="00F66AA7">
              <w:rPr>
                <w:rStyle w:val="Strong"/>
                <w:rFonts w:ascii="Arial" w:hAnsi="Arial" w:cs="Arial"/>
                <w:b w:val="0"/>
                <w:bCs w:val="0"/>
                <w:sz w:val="20"/>
                <w:szCs w:val="20"/>
              </w:rPr>
              <w:t>AT&amp;T – Linda Richardson</w:t>
            </w:r>
          </w:p>
          <w:p w:rsidR="00D42EFD" w:rsidRPr="00F66AA7" w:rsidRDefault="004064A2" w:rsidP="000F7020">
            <w:pPr>
              <w:rPr>
                <w:rStyle w:val="Strong"/>
                <w:rFonts w:ascii="Arial" w:hAnsi="Arial" w:cs="Arial"/>
                <w:b w:val="0"/>
                <w:bCs w:val="0"/>
                <w:sz w:val="20"/>
                <w:szCs w:val="20"/>
              </w:rPr>
            </w:pPr>
            <w:r w:rsidRPr="00F66AA7">
              <w:rPr>
                <w:rStyle w:val="Strong"/>
                <w:rFonts w:ascii="Arial" w:hAnsi="Arial" w:cs="Arial"/>
                <w:b w:val="0"/>
                <w:bCs w:val="0"/>
                <w:sz w:val="20"/>
                <w:szCs w:val="20"/>
              </w:rPr>
              <w:t xml:space="preserve">CenturyLink </w:t>
            </w:r>
            <w:r w:rsidR="00D11465" w:rsidRPr="00F66AA7">
              <w:rPr>
                <w:rStyle w:val="Strong"/>
                <w:rFonts w:ascii="Arial" w:hAnsi="Arial" w:cs="Arial"/>
                <w:b w:val="0"/>
                <w:bCs w:val="0"/>
                <w:sz w:val="20"/>
                <w:szCs w:val="20"/>
              </w:rPr>
              <w:t>–</w:t>
            </w:r>
            <w:r w:rsidRPr="00F66AA7">
              <w:rPr>
                <w:rStyle w:val="Strong"/>
                <w:rFonts w:ascii="Arial" w:hAnsi="Arial" w:cs="Arial"/>
                <w:b w:val="0"/>
                <w:bCs w:val="0"/>
                <w:sz w:val="20"/>
                <w:szCs w:val="20"/>
              </w:rPr>
              <w:t xml:space="preserve"> </w:t>
            </w:r>
            <w:r w:rsidR="0055219C" w:rsidRPr="00F66AA7">
              <w:rPr>
                <w:rStyle w:val="Strong"/>
                <w:rFonts w:ascii="Arial" w:hAnsi="Arial" w:cs="Arial"/>
                <w:b w:val="0"/>
                <w:bCs w:val="0"/>
                <w:sz w:val="20"/>
                <w:szCs w:val="20"/>
              </w:rPr>
              <w:t>Jan Doell</w:t>
            </w:r>
          </w:p>
          <w:p w:rsidR="00564264" w:rsidRPr="00F66AA7" w:rsidRDefault="00564264" w:rsidP="000F7020">
            <w:pPr>
              <w:rPr>
                <w:rStyle w:val="Strong"/>
                <w:rFonts w:ascii="Arial" w:hAnsi="Arial" w:cs="Arial"/>
                <w:b w:val="0"/>
                <w:bCs w:val="0"/>
                <w:sz w:val="20"/>
                <w:szCs w:val="20"/>
              </w:rPr>
            </w:pPr>
            <w:r w:rsidRPr="00F66AA7">
              <w:rPr>
                <w:rStyle w:val="Strong"/>
                <w:rFonts w:ascii="Arial" w:hAnsi="Arial" w:cs="Arial"/>
                <w:b w:val="0"/>
                <w:bCs w:val="0"/>
                <w:sz w:val="20"/>
                <w:szCs w:val="20"/>
              </w:rPr>
              <w:t>Charter Communications – Holly Kuester</w:t>
            </w:r>
          </w:p>
          <w:p w:rsidR="00F05C9F" w:rsidRPr="00F66AA7" w:rsidRDefault="00F05C9F" w:rsidP="000F7020">
            <w:pPr>
              <w:rPr>
                <w:rStyle w:val="Strong"/>
                <w:rFonts w:ascii="Arial" w:hAnsi="Arial" w:cs="Arial"/>
                <w:b w:val="0"/>
                <w:bCs w:val="0"/>
                <w:sz w:val="20"/>
                <w:szCs w:val="20"/>
              </w:rPr>
            </w:pPr>
            <w:r w:rsidRPr="00F66AA7">
              <w:rPr>
                <w:rStyle w:val="Strong"/>
                <w:rFonts w:ascii="Arial" w:hAnsi="Arial" w:cs="Arial"/>
                <w:b w:val="0"/>
                <w:bCs w:val="0"/>
                <w:sz w:val="20"/>
                <w:szCs w:val="20"/>
              </w:rPr>
              <w:t>Cox Communications – Beth O’Donnell</w:t>
            </w:r>
          </w:p>
          <w:p w:rsidR="00DE4A0D" w:rsidRPr="00F66AA7" w:rsidRDefault="00DE4A0D" w:rsidP="00DE4A0D">
            <w:pPr>
              <w:rPr>
                <w:rStyle w:val="Strong"/>
                <w:rFonts w:ascii="Arial" w:hAnsi="Arial" w:cs="Arial"/>
                <w:b w:val="0"/>
                <w:sz w:val="20"/>
                <w:szCs w:val="20"/>
              </w:rPr>
            </w:pPr>
            <w:r w:rsidRPr="00F66AA7">
              <w:rPr>
                <w:rStyle w:val="Strong"/>
                <w:rFonts w:ascii="Arial" w:hAnsi="Arial" w:cs="Arial"/>
                <w:b w:val="0"/>
                <w:sz w:val="20"/>
                <w:szCs w:val="20"/>
              </w:rPr>
              <w:t>PA PUC  -  Chris Hepburn</w:t>
            </w:r>
          </w:p>
          <w:p w:rsidR="00564264" w:rsidRPr="00F66AA7" w:rsidRDefault="00564264" w:rsidP="00DE4A0D">
            <w:pPr>
              <w:rPr>
                <w:rStyle w:val="Strong"/>
                <w:rFonts w:ascii="Arial" w:hAnsi="Arial" w:cs="Arial"/>
                <w:b w:val="0"/>
                <w:bCs w:val="0"/>
                <w:sz w:val="20"/>
                <w:szCs w:val="20"/>
              </w:rPr>
            </w:pPr>
            <w:r w:rsidRPr="00F66AA7">
              <w:rPr>
                <w:rStyle w:val="Strong"/>
                <w:rFonts w:ascii="Arial" w:hAnsi="Arial" w:cs="Arial"/>
                <w:b w:val="0"/>
                <w:sz w:val="20"/>
                <w:szCs w:val="20"/>
              </w:rPr>
              <w:t>Sprint – Shaunna Forshee</w:t>
            </w:r>
          </w:p>
          <w:p w:rsidR="003C7175" w:rsidRPr="00F66AA7" w:rsidRDefault="00AD3C2E" w:rsidP="000F7020">
            <w:pPr>
              <w:rPr>
                <w:rStyle w:val="Strong"/>
                <w:rFonts w:ascii="Arial" w:hAnsi="Arial" w:cs="Arial"/>
                <w:b w:val="0"/>
                <w:bCs w:val="0"/>
                <w:sz w:val="20"/>
                <w:szCs w:val="20"/>
              </w:rPr>
            </w:pPr>
            <w:r w:rsidRPr="00F66AA7">
              <w:rPr>
                <w:rStyle w:val="Strong"/>
                <w:rFonts w:ascii="Arial" w:hAnsi="Arial" w:cs="Arial"/>
                <w:b w:val="0"/>
                <w:bCs w:val="0"/>
                <w:sz w:val="20"/>
                <w:szCs w:val="20"/>
              </w:rPr>
              <w:t xml:space="preserve">Sprint – </w:t>
            </w:r>
            <w:r w:rsidR="00803F08" w:rsidRPr="00F66AA7">
              <w:rPr>
                <w:rStyle w:val="Strong"/>
                <w:rFonts w:ascii="Arial" w:hAnsi="Arial" w:cs="Arial"/>
                <w:b w:val="0"/>
                <w:bCs w:val="0"/>
                <w:sz w:val="20"/>
                <w:szCs w:val="20"/>
              </w:rPr>
              <w:t>Karen Riepenkroger</w:t>
            </w:r>
          </w:p>
          <w:p w:rsidR="00F05C9F" w:rsidRPr="00F66AA7" w:rsidRDefault="00F05C9F" w:rsidP="000F7020">
            <w:pPr>
              <w:rPr>
                <w:rStyle w:val="Strong"/>
                <w:rFonts w:ascii="Arial" w:hAnsi="Arial" w:cs="Arial"/>
                <w:b w:val="0"/>
                <w:bCs w:val="0"/>
                <w:sz w:val="20"/>
                <w:szCs w:val="20"/>
              </w:rPr>
            </w:pPr>
            <w:r w:rsidRPr="00F66AA7">
              <w:rPr>
                <w:rStyle w:val="Strong"/>
                <w:rFonts w:ascii="Arial" w:hAnsi="Arial" w:cs="Arial"/>
                <w:b w:val="0"/>
                <w:bCs w:val="0"/>
                <w:sz w:val="20"/>
                <w:szCs w:val="20"/>
              </w:rPr>
              <w:t>T-Mobile – Cathie Capita</w:t>
            </w:r>
          </w:p>
          <w:p w:rsidR="00AD3C2E" w:rsidRPr="00F66AA7" w:rsidRDefault="00AD3C2E" w:rsidP="000F7020">
            <w:pPr>
              <w:rPr>
                <w:rStyle w:val="Strong"/>
                <w:rFonts w:ascii="Arial" w:hAnsi="Arial" w:cs="Arial"/>
                <w:b w:val="0"/>
                <w:bCs w:val="0"/>
                <w:sz w:val="20"/>
                <w:szCs w:val="20"/>
              </w:rPr>
            </w:pPr>
            <w:r w:rsidRPr="00F66AA7">
              <w:rPr>
                <w:rStyle w:val="Strong"/>
                <w:rFonts w:ascii="Arial" w:hAnsi="Arial" w:cs="Arial"/>
                <w:b w:val="0"/>
                <w:bCs w:val="0"/>
                <w:sz w:val="20"/>
                <w:szCs w:val="20"/>
              </w:rPr>
              <w:t>Verizon Communications – Laura Dalton</w:t>
            </w:r>
          </w:p>
          <w:p w:rsidR="00A35A72" w:rsidRPr="00DE4A0D" w:rsidRDefault="00A35A72" w:rsidP="000F7020">
            <w:pPr>
              <w:rPr>
                <w:rStyle w:val="Strong"/>
                <w:rFonts w:ascii="Arial" w:hAnsi="Arial" w:cs="Arial"/>
                <w:b w:val="0"/>
                <w:bCs w:val="0"/>
                <w:sz w:val="20"/>
                <w:szCs w:val="20"/>
              </w:rPr>
            </w:pPr>
            <w:r w:rsidRPr="00F66AA7">
              <w:rPr>
                <w:rStyle w:val="Strong"/>
                <w:rFonts w:ascii="Arial" w:hAnsi="Arial" w:cs="Arial"/>
                <w:b w:val="0"/>
                <w:bCs w:val="0"/>
                <w:sz w:val="20"/>
                <w:szCs w:val="20"/>
              </w:rPr>
              <w:t>Verizon Wireless – Dana Crandall</w:t>
            </w:r>
          </w:p>
          <w:p w:rsidR="00A35A72" w:rsidRPr="00C46CA7" w:rsidRDefault="00A35A72" w:rsidP="000F7020">
            <w:pPr>
              <w:rPr>
                <w:rStyle w:val="Strong"/>
                <w:rFonts w:ascii="Arial" w:hAnsi="Arial" w:cs="Arial"/>
                <w:b w:val="0"/>
                <w:bCs w:val="0"/>
                <w:sz w:val="20"/>
                <w:szCs w:val="20"/>
              </w:rPr>
            </w:pPr>
          </w:p>
          <w:p w:rsidR="00D11465" w:rsidRPr="00C46CA7" w:rsidRDefault="00D11465" w:rsidP="00D11465">
            <w:pPr>
              <w:rPr>
                <w:rStyle w:val="Strong"/>
                <w:rFonts w:ascii="Arial" w:hAnsi="Arial" w:cs="Arial"/>
                <w:b w:val="0"/>
                <w:bCs w:val="0"/>
                <w:sz w:val="20"/>
                <w:szCs w:val="20"/>
              </w:rPr>
            </w:pPr>
          </w:p>
          <w:p w:rsidR="00D11465" w:rsidRPr="00C46CA7" w:rsidRDefault="00D11465" w:rsidP="00D11465">
            <w:pPr>
              <w:rPr>
                <w:rStyle w:val="Strong"/>
                <w:rFonts w:ascii="Arial" w:hAnsi="Arial" w:cs="Arial"/>
                <w:b w:val="0"/>
                <w:bCs w:val="0"/>
                <w:sz w:val="20"/>
                <w:szCs w:val="20"/>
                <w:lang w:val="sv-SE"/>
              </w:rPr>
            </w:pPr>
          </w:p>
        </w:tc>
        <w:tc>
          <w:tcPr>
            <w:tcW w:w="4788" w:type="dxa"/>
          </w:tcPr>
          <w:p w:rsidR="009B625A" w:rsidRPr="00F66AA7" w:rsidRDefault="009B625A" w:rsidP="00C05B28">
            <w:pPr>
              <w:rPr>
                <w:rFonts w:ascii="Arial" w:hAnsi="Arial" w:cs="Arial"/>
                <w:sz w:val="20"/>
                <w:szCs w:val="20"/>
              </w:rPr>
            </w:pPr>
            <w:r w:rsidRPr="00F66AA7">
              <w:rPr>
                <w:rFonts w:ascii="Arial" w:hAnsi="Arial" w:cs="Arial"/>
                <w:sz w:val="20"/>
                <w:szCs w:val="20"/>
              </w:rPr>
              <w:t>Al Cipparone</w:t>
            </w:r>
          </w:p>
          <w:p w:rsidR="004064A2" w:rsidRPr="00F66AA7" w:rsidRDefault="004064A2" w:rsidP="00C05B28">
            <w:pPr>
              <w:rPr>
                <w:rFonts w:ascii="Arial" w:hAnsi="Arial" w:cs="Arial"/>
                <w:sz w:val="20"/>
                <w:szCs w:val="20"/>
              </w:rPr>
            </w:pPr>
            <w:r w:rsidRPr="00F66AA7">
              <w:rPr>
                <w:rFonts w:ascii="Arial" w:hAnsi="Arial" w:cs="Arial"/>
                <w:sz w:val="20"/>
                <w:szCs w:val="20"/>
              </w:rPr>
              <w:t>Joe Cocke</w:t>
            </w:r>
          </w:p>
          <w:p w:rsidR="00A5650B" w:rsidRPr="00F66AA7" w:rsidRDefault="00A5650B" w:rsidP="00C05B28">
            <w:pPr>
              <w:rPr>
                <w:rFonts w:ascii="Arial" w:hAnsi="Arial" w:cs="Arial"/>
                <w:sz w:val="20"/>
                <w:szCs w:val="20"/>
              </w:rPr>
            </w:pPr>
            <w:r w:rsidRPr="00F66AA7">
              <w:rPr>
                <w:rFonts w:ascii="Arial" w:hAnsi="Arial" w:cs="Arial"/>
                <w:sz w:val="20"/>
                <w:szCs w:val="20"/>
              </w:rPr>
              <w:t>Nancy Fears</w:t>
            </w:r>
          </w:p>
          <w:p w:rsidR="00343511" w:rsidRPr="00F66AA7" w:rsidRDefault="00343511" w:rsidP="00C05B28">
            <w:pPr>
              <w:rPr>
                <w:rFonts w:ascii="Arial" w:hAnsi="Arial" w:cs="Arial"/>
                <w:sz w:val="20"/>
                <w:szCs w:val="20"/>
              </w:rPr>
            </w:pPr>
            <w:r w:rsidRPr="00F66AA7">
              <w:rPr>
                <w:rFonts w:ascii="Arial" w:hAnsi="Arial" w:cs="Arial"/>
                <w:sz w:val="20"/>
                <w:szCs w:val="20"/>
              </w:rPr>
              <w:t>Tom Foley</w:t>
            </w:r>
          </w:p>
          <w:p w:rsidR="00104B08" w:rsidRPr="00F66AA7" w:rsidRDefault="008805CC" w:rsidP="00C05B28">
            <w:pPr>
              <w:rPr>
                <w:rFonts w:ascii="Arial" w:hAnsi="Arial" w:cs="Arial"/>
                <w:sz w:val="20"/>
                <w:szCs w:val="20"/>
              </w:rPr>
            </w:pPr>
            <w:r w:rsidRPr="00F66AA7">
              <w:rPr>
                <w:rFonts w:ascii="Arial" w:hAnsi="Arial" w:cs="Arial"/>
                <w:sz w:val="20"/>
                <w:szCs w:val="20"/>
              </w:rPr>
              <w:t>John Manning</w:t>
            </w:r>
          </w:p>
          <w:p w:rsidR="00F05C9F" w:rsidRPr="00F66AA7" w:rsidRDefault="00F05C9F" w:rsidP="00C05B28">
            <w:pPr>
              <w:rPr>
                <w:rFonts w:ascii="Arial" w:hAnsi="Arial" w:cs="Arial"/>
                <w:sz w:val="20"/>
                <w:szCs w:val="20"/>
              </w:rPr>
            </w:pPr>
            <w:r w:rsidRPr="00F66AA7">
              <w:rPr>
                <w:rFonts w:ascii="Arial" w:hAnsi="Arial" w:cs="Arial"/>
                <w:sz w:val="20"/>
                <w:szCs w:val="20"/>
              </w:rPr>
              <w:t>Beth Sprague</w:t>
            </w:r>
          </w:p>
          <w:p w:rsidR="00AD3C2E" w:rsidRPr="00C46CA7" w:rsidRDefault="00AD3C2E" w:rsidP="00C05B28">
            <w:pPr>
              <w:rPr>
                <w:rFonts w:ascii="Arial" w:hAnsi="Arial" w:cs="Arial"/>
                <w:sz w:val="20"/>
                <w:szCs w:val="20"/>
              </w:rPr>
            </w:pPr>
            <w:r w:rsidRPr="00F66AA7">
              <w:rPr>
                <w:rFonts w:ascii="Arial" w:hAnsi="Arial" w:cs="Arial"/>
                <w:sz w:val="20"/>
                <w:szCs w:val="20"/>
              </w:rPr>
              <w:t>Wayne Milby</w:t>
            </w:r>
          </w:p>
          <w:p w:rsidR="00C05B28" w:rsidRPr="00C46CA7" w:rsidRDefault="008805CC" w:rsidP="00C05B28">
            <w:pPr>
              <w:rPr>
                <w:rStyle w:val="Strong"/>
                <w:rFonts w:ascii="Arial" w:hAnsi="Arial" w:cs="Arial"/>
                <w:color w:val="A6A6A6"/>
                <w:sz w:val="20"/>
                <w:szCs w:val="20"/>
                <w:u w:val="single"/>
              </w:rPr>
            </w:pPr>
            <w:r w:rsidRPr="00C46CA7">
              <w:rPr>
                <w:rFonts w:ascii="Arial" w:hAnsi="Arial" w:cs="Arial"/>
                <w:sz w:val="20"/>
                <w:szCs w:val="20"/>
              </w:rPr>
              <w:br/>
            </w:r>
            <w:r w:rsidRPr="00C46CA7">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Pr="0067324C"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936900" w:rsidRDefault="00931E71" w:rsidP="00DE70B4">
      <w:pPr>
        <w:pStyle w:val="ListParagraph"/>
        <w:numPr>
          <w:ilvl w:val="0"/>
          <w:numId w:val="29"/>
        </w:numPr>
        <w:rPr>
          <w:rFonts w:ascii="Arial" w:hAnsi="Arial" w:cs="Arial"/>
          <w:sz w:val="20"/>
          <w:szCs w:val="20"/>
        </w:rPr>
      </w:pPr>
      <w:r>
        <w:rPr>
          <w:rFonts w:ascii="Arial" w:hAnsi="Arial" w:cs="Arial"/>
          <w:sz w:val="20"/>
          <w:szCs w:val="20"/>
        </w:rPr>
        <w:t>As part of ongoing Code Administrator training, reviewed the internal M&amp;P processes to complete code transfers and subsequent information changes.</w:t>
      </w:r>
    </w:p>
    <w:p w:rsidR="00931E71" w:rsidRPr="00931E71" w:rsidRDefault="00931E71" w:rsidP="00931E71">
      <w:pPr>
        <w:rPr>
          <w:rFonts w:ascii="Arial" w:hAnsi="Arial" w:cs="Arial"/>
          <w:sz w:val="20"/>
          <w:szCs w:val="20"/>
        </w:rPr>
      </w:pPr>
    </w:p>
    <w:p w:rsidR="00D1374F" w:rsidRPr="0049547E" w:rsidRDefault="00D1374F" w:rsidP="00B904C2">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664E36" w:rsidRPr="003C4CCE" w:rsidRDefault="003C4CCE" w:rsidP="00664E36">
      <w:pPr>
        <w:pStyle w:val="ListParagraph"/>
        <w:numPr>
          <w:ilvl w:val="0"/>
          <w:numId w:val="17"/>
        </w:numPr>
        <w:rPr>
          <w:rFonts w:ascii="Arial" w:hAnsi="Arial" w:cs="Arial"/>
          <w:b/>
          <w:sz w:val="20"/>
          <w:szCs w:val="20"/>
        </w:rPr>
      </w:pPr>
      <w:r>
        <w:rPr>
          <w:rFonts w:ascii="Arial" w:hAnsi="Arial" w:cs="Arial"/>
          <w:sz w:val="20"/>
          <w:szCs w:val="20"/>
        </w:rPr>
        <w:t>2014 NANPA Performance Survey has been posted to the NANPA website and NNS notification distributed.</w:t>
      </w:r>
      <w:r w:rsidR="009D5F09">
        <w:rPr>
          <w:rFonts w:ascii="Arial" w:hAnsi="Arial" w:cs="Arial"/>
          <w:sz w:val="20"/>
          <w:szCs w:val="20"/>
        </w:rPr>
        <w:t xml:space="preserve">  Reminder notice sent 1/13/15.</w:t>
      </w:r>
    </w:p>
    <w:p w:rsidR="003C4CCE" w:rsidRPr="005D1737" w:rsidRDefault="003C4CCE" w:rsidP="00664E36">
      <w:pPr>
        <w:pStyle w:val="ListParagraph"/>
        <w:numPr>
          <w:ilvl w:val="0"/>
          <w:numId w:val="17"/>
        </w:numPr>
        <w:rPr>
          <w:rFonts w:ascii="Arial" w:hAnsi="Arial" w:cs="Arial"/>
          <w:b/>
          <w:sz w:val="20"/>
          <w:szCs w:val="20"/>
        </w:rPr>
      </w:pPr>
      <w:r>
        <w:rPr>
          <w:rFonts w:ascii="Arial" w:hAnsi="Arial" w:cs="Arial"/>
          <w:sz w:val="20"/>
          <w:szCs w:val="20"/>
        </w:rPr>
        <w:t>The State Reclamation Contact List has been updated.</w:t>
      </w:r>
    </w:p>
    <w:p w:rsidR="005D1737" w:rsidRDefault="005D1737" w:rsidP="005D1737">
      <w:pPr>
        <w:rPr>
          <w:rFonts w:ascii="Arial" w:hAnsi="Arial" w:cs="Arial"/>
          <w:b/>
          <w:sz w:val="20"/>
          <w:szCs w:val="20"/>
        </w:rPr>
      </w:pPr>
    </w:p>
    <w:p w:rsidR="00741CD2" w:rsidRPr="005D1737" w:rsidRDefault="00741CD2" w:rsidP="005D1737">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p w:rsidR="00D460F9" w:rsidRDefault="00D460F9" w:rsidP="00B40844">
      <w:pPr>
        <w:rPr>
          <w:rFonts w:ascii="Arial" w:hAnsi="Arial" w:cs="Arial"/>
          <w:b/>
          <w:sz w:val="20"/>
          <w:szCs w:val="20"/>
        </w:rPr>
      </w:pPr>
    </w:p>
    <w:bookmarkStart w:id="2" w:name="_MON_1482903754"/>
    <w:bookmarkEnd w:id="2"/>
    <w:p w:rsidR="00A5650B" w:rsidRDefault="003C4CCE" w:rsidP="00B40844">
      <w:pPr>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8" ShapeID="_x0000_i1025" DrawAspect="Icon" ObjectID="_1484486728" r:id="rId10">
            <o:FieldCodes>\s</o:FieldCodes>
          </o:OLEObject>
        </w:object>
      </w:r>
    </w:p>
    <w:p w:rsidR="008A0ADE" w:rsidRDefault="008A0ADE" w:rsidP="00B40844">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55FDD" w:rsidRPr="000C4126" w:rsidRDefault="00DE70B4" w:rsidP="00436C33">
      <w:pPr>
        <w:pStyle w:val="ListParagraph"/>
        <w:numPr>
          <w:ilvl w:val="0"/>
          <w:numId w:val="5"/>
        </w:numPr>
        <w:rPr>
          <w:rFonts w:ascii="Arial" w:hAnsi="Arial" w:cs="Arial"/>
          <w:sz w:val="20"/>
          <w:szCs w:val="20"/>
        </w:rPr>
      </w:pPr>
      <w:bookmarkStart w:id="4" w:name="_Toc320540184"/>
      <w:r>
        <w:rPr>
          <w:rFonts w:ascii="Arial" w:hAnsi="Arial" w:cs="Arial"/>
          <w:sz w:val="20"/>
          <w:szCs w:val="20"/>
        </w:rPr>
        <w:t>None</w:t>
      </w:r>
    </w:p>
    <w:p w:rsidR="00022121" w:rsidRPr="00022121" w:rsidRDefault="00022121" w:rsidP="00022121">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4"/>
    </w:p>
    <w:p w:rsidR="005C574B" w:rsidRPr="008526EC" w:rsidRDefault="005C574B" w:rsidP="00741CD2">
      <w:pPr>
        <w:rPr>
          <w:rFonts w:ascii="Arial" w:hAnsi="Arial" w:cs="Arial"/>
          <w:sz w:val="20"/>
          <w:szCs w:val="20"/>
        </w:rPr>
      </w:pPr>
      <w:bookmarkStart w:id="5" w:name="_Toc320540185"/>
    </w:p>
    <w:p w:rsidR="00913296" w:rsidRDefault="00913296" w:rsidP="009F4DB3">
      <w:pPr>
        <w:pStyle w:val="ListParagraph"/>
        <w:ind w:left="0"/>
        <w:rPr>
          <w:rFonts w:ascii="Arial" w:hAnsi="Arial" w:cs="Arial"/>
          <w:b/>
          <w:sz w:val="20"/>
          <w:szCs w:val="20"/>
          <w:u w:val="single"/>
        </w:rPr>
      </w:pPr>
    </w:p>
    <w:p w:rsidR="009F4DB3" w:rsidRP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AA0AFA" w:rsidRDefault="00AA0AFA" w:rsidP="00087915">
      <w:pPr>
        <w:pStyle w:val="ListParagraph"/>
        <w:numPr>
          <w:ilvl w:val="0"/>
          <w:numId w:val="5"/>
        </w:numPr>
        <w:rPr>
          <w:rFonts w:ascii="Arial" w:hAnsi="Arial" w:cs="Arial"/>
          <w:sz w:val="20"/>
          <w:szCs w:val="20"/>
        </w:rPr>
      </w:pPr>
      <w:r>
        <w:rPr>
          <w:rFonts w:ascii="Arial" w:hAnsi="Arial" w:cs="Arial"/>
          <w:sz w:val="20"/>
          <w:szCs w:val="20"/>
        </w:rPr>
        <w:t xml:space="preserve">Trouble Ticket </w:t>
      </w:r>
      <w:r w:rsidR="003C4CCE">
        <w:rPr>
          <w:rFonts w:ascii="Arial" w:hAnsi="Arial" w:cs="Arial"/>
          <w:sz w:val="20"/>
          <w:szCs w:val="20"/>
        </w:rPr>
        <w:t>13</w:t>
      </w:r>
      <w:r>
        <w:rPr>
          <w:rFonts w:ascii="Arial" w:hAnsi="Arial" w:cs="Arial"/>
          <w:sz w:val="20"/>
          <w:szCs w:val="20"/>
        </w:rPr>
        <w:t xml:space="preserve"> – </w:t>
      </w:r>
      <w:r w:rsidR="001F2D47">
        <w:rPr>
          <w:rFonts w:ascii="Arial" w:hAnsi="Arial" w:cs="Arial"/>
          <w:sz w:val="20"/>
          <w:szCs w:val="20"/>
        </w:rPr>
        <w:t xml:space="preserve">NAS user contacted NAS Help Desk to change NAS Login ID to match PAS Login ID.  Change was made but when user logged into NAS to make profile updates, system would not allow updates.  </w:t>
      </w:r>
      <w:r w:rsidR="009667CF">
        <w:rPr>
          <w:rFonts w:ascii="Arial" w:hAnsi="Arial" w:cs="Arial"/>
          <w:sz w:val="20"/>
          <w:szCs w:val="20"/>
        </w:rPr>
        <w:t>Research showed that user had made various updates to NAS resource subscriptions.  To address the issue, the Login Administrator rebuilt the user profile and issued a new password.  Ticket was closed on 1/5/15.</w:t>
      </w:r>
    </w:p>
    <w:p w:rsidR="00F66AA7" w:rsidRDefault="00F66AA7" w:rsidP="00087915">
      <w:pPr>
        <w:pStyle w:val="ListParagraph"/>
        <w:numPr>
          <w:ilvl w:val="0"/>
          <w:numId w:val="5"/>
        </w:numPr>
        <w:rPr>
          <w:rFonts w:ascii="Arial" w:hAnsi="Arial" w:cs="Arial"/>
          <w:sz w:val="20"/>
          <w:szCs w:val="20"/>
        </w:rPr>
      </w:pPr>
      <w:r>
        <w:rPr>
          <w:rFonts w:ascii="Arial" w:hAnsi="Arial" w:cs="Arial"/>
          <w:sz w:val="20"/>
          <w:szCs w:val="20"/>
        </w:rPr>
        <w:t>For the second half of 2014 there were no trouble tickets related to the NAS refresh.  There have been four trouble tickets in the second half and one was related to the 5XX NPA functionality.</w:t>
      </w:r>
    </w:p>
    <w:p w:rsidR="00916BCE" w:rsidRDefault="006C72F1" w:rsidP="001A600D">
      <w:pPr>
        <w:pStyle w:val="ListParagraph"/>
        <w:numPr>
          <w:ilvl w:val="0"/>
          <w:numId w:val="5"/>
        </w:numPr>
        <w:rPr>
          <w:rFonts w:ascii="Arial" w:hAnsi="Arial" w:cs="Arial"/>
          <w:sz w:val="20"/>
          <w:szCs w:val="20"/>
        </w:rPr>
      </w:pPr>
      <w:r w:rsidRPr="001871EC">
        <w:rPr>
          <w:rFonts w:ascii="Arial" w:hAnsi="Arial" w:cs="Arial"/>
          <w:sz w:val="20"/>
          <w:szCs w:val="20"/>
        </w:rPr>
        <w:t>Please see the appropriate tab in the “NANPA Measurements” document attached below for detailed</w:t>
      </w:r>
      <w:r w:rsidR="00E01292" w:rsidRPr="001871EC">
        <w:rPr>
          <w:rFonts w:ascii="Arial" w:hAnsi="Arial" w:cs="Arial"/>
          <w:sz w:val="20"/>
          <w:szCs w:val="20"/>
        </w:rPr>
        <w:t xml:space="preserve"> information on Trouble Tickets.   </w:t>
      </w:r>
    </w:p>
    <w:p w:rsidR="003C4CCE" w:rsidRDefault="003C4CCE" w:rsidP="003C4CCE">
      <w:pPr>
        <w:rPr>
          <w:rFonts w:ascii="Arial" w:hAnsi="Arial" w:cs="Arial"/>
          <w:sz w:val="20"/>
          <w:szCs w:val="20"/>
        </w:rPr>
      </w:pP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545049">
      <w:pPr>
        <w:numPr>
          <w:ilvl w:val="0"/>
          <w:numId w:val="3"/>
        </w:num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9667CF">
        <w:rPr>
          <w:rFonts w:ascii="Arial" w:hAnsi="Arial" w:cs="Arial"/>
          <w:b/>
          <w:sz w:val="20"/>
          <w:szCs w:val="20"/>
        </w:rPr>
        <w:t>December</w:t>
      </w:r>
      <w:r w:rsidR="00400302">
        <w:rPr>
          <w:rFonts w:ascii="Arial" w:hAnsi="Arial" w:cs="Arial"/>
          <w:b/>
          <w:sz w:val="20"/>
          <w:szCs w:val="20"/>
        </w:rPr>
        <w:t>, 2014</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9667CF" w:rsidP="00C840E0">
            <w:pPr>
              <w:rPr>
                <w:rFonts w:ascii="Arial" w:hAnsi="Arial" w:cs="Arial"/>
                <w:sz w:val="20"/>
                <w:szCs w:val="20"/>
              </w:rPr>
            </w:pPr>
            <w:r>
              <w:rPr>
                <w:rFonts w:ascii="Arial" w:hAnsi="Arial" w:cs="Arial"/>
                <w:sz w:val="20"/>
                <w:szCs w:val="20"/>
              </w:rPr>
              <w:t>287</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916BCE" w:rsidP="009667CF">
            <w:pPr>
              <w:rPr>
                <w:rFonts w:ascii="Arial" w:hAnsi="Arial" w:cs="Arial"/>
                <w:sz w:val="20"/>
                <w:szCs w:val="20"/>
              </w:rPr>
            </w:pPr>
            <w:r>
              <w:rPr>
                <w:rFonts w:ascii="Arial" w:hAnsi="Arial" w:cs="Arial"/>
                <w:sz w:val="20"/>
                <w:szCs w:val="20"/>
              </w:rPr>
              <w:t>1,</w:t>
            </w:r>
            <w:r w:rsidR="009667CF">
              <w:rPr>
                <w:rFonts w:ascii="Arial" w:hAnsi="Arial" w:cs="Arial"/>
                <w:sz w:val="20"/>
                <w:szCs w:val="20"/>
              </w:rPr>
              <w:t>186</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9667CF" w:rsidP="00C840E0">
            <w:pPr>
              <w:rPr>
                <w:rFonts w:ascii="Arial" w:hAnsi="Arial" w:cs="Arial"/>
                <w:sz w:val="20"/>
                <w:szCs w:val="20"/>
              </w:rPr>
            </w:pPr>
            <w:r>
              <w:rPr>
                <w:rFonts w:ascii="Arial" w:hAnsi="Arial" w:cs="Arial"/>
                <w:sz w:val="20"/>
                <w:szCs w:val="20"/>
              </w:rPr>
              <w:t>78</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9667CF" w:rsidP="00C840E0">
            <w:pPr>
              <w:rPr>
                <w:rFonts w:ascii="Arial" w:hAnsi="Arial" w:cs="Arial"/>
                <w:sz w:val="20"/>
                <w:szCs w:val="20"/>
              </w:rPr>
            </w:pPr>
            <w:r>
              <w:rPr>
                <w:rFonts w:ascii="Arial" w:hAnsi="Arial" w:cs="Arial"/>
                <w:sz w:val="20"/>
                <w:szCs w:val="20"/>
              </w:rPr>
              <w:t>6</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9667CF"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9667CF" w:rsidP="00C840E0">
            <w:pPr>
              <w:rPr>
                <w:rFonts w:ascii="Arial" w:hAnsi="Arial" w:cs="Arial"/>
                <w:sz w:val="20"/>
                <w:szCs w:val="20"/>
              </w:rPr>
            </w:pPr>
            <w:r>
              <w:rPr>
                <w:rFonts w:ascii="Arial" w:hAnsi="Arial" w:cs="Arial"/>
                <w:sz w:val="20"/>
                <w:szCs w:val="20"/>
              </w:rPr>
              <w:t>23</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935BCB" w:rsidP="00916BCE">
            <w:pPr>
              <w:rPr>
                <w:rFonts w:ascii="Arial" w:hAnsi="Arial" w:cs="Arial"/>
                <w:b/>
                <w:bCs/>
                <w:sz w:val="20"/>
                <w:szCs w:val="20"/>
              </w:rPr>
            </w:pPr>
            <w:r>
              <w:rPr>
                <w:rFonts w:ascii="Arial" w:hAnsi="Arial" w:cs="Arial"/>
                <w:b/>
                <w:bCs/>
                <w:sz w:val="20"/>
                <w:szCs w:val="20"/>
              </w:rPr>
              <w:t>1,</w:t>
            </w:r>
            <w:r w:rsidR="009667CF">
              <w:rPr>
                <w:rFonts w:ascii="Arial" w:hAnsi="Arial" w:cs="Arial"/>
                <w:b/>
                <w:bCs/>
                <w:sz w:val="20"/>
                <w:szCs w:val="20"/>
              </w:rPr>
              <w:t>574</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9667CF" w:rsidP="001F40B3">
            <w:pPr>
              <w:rPr>
                <w:rFonts w:ascii="Arial" w:hAnsi="Arial" w:cs="Arial"/>
                <w:sz w:val="20"/>
                <w:szCs w:val="20"/>
              </w:rPr>
            </w:pPr>
            <w:r>
              <w:rPr>
                <w:rFonts w:ascii="Arial" w:hAnsi="Arial" w:cs="Arial"/>
                <w:sz w:val="20"/>
                <w:szCs w:val="20"/>
              </w:rPr>
              <w:t>1,010</w:t>
            </w:r>
          </w:p>
        </w:tc>
      </w:tr>
      <w:tr w:rsidR="00EC78BA" w:rsidRPr="00B67D93" w:rsidTr="001C405C">
        <w:trPr>
          <w:trHeight w:val="179"/>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9667CF" w:rsidP="00C840E0">
            <w:pPr>
              <w:rPr>
                <w:rFonts w:ascii="Arial" w:hAnsi="Arial" w:cs="Arial"/>
                <w:sz w:val="20"/>
                <w:szCs w:val="20"/>
              </w:rPr>
            </w:pPr>
            <w:r>
              <w:rPr>
                <w:rFonts w:ascii="Arial" w:hAnsi="Arial" w:cs="Arial"/>
                <w:sz w:val="20"/>
                <w:szCs w:val="20"/>
              </w:rPr>
              <w:t>0</w:t>
            </w:r>
          </w:p>
        </w:tc>
      </w:tr>
    </w:tbl>
    <w:p w:rsidR="00B13A6D" w:rsidRDefault="00B13A6D" w:rsidP="00B67D93">
      <w:pPr>
        <w:rPr>
          <w:rFonts w:ascii="Arial" w:hAnsi="Arial" w:cs="Arial"/>
          <w:sz w:val="20"/>
          <w:szCs w:val="20"/>
        </w:rPr>
      </w:pPr>
    </w:p>
    <w:p w:rsidR="00F31D18" w:rsidRDefault="00F31D18"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9667CF">
        <w:rPr>
          <w:rFonts w:ascii="Arial" w:hAnsi="Arial" w:cs="Arial"/>
          <w:b/>
          <w:sz w:val="20"/>
          <w:szCs w:val="20"/>
        </w:rPr>
        <w:t>December</w:t>
      </w:r>
      <w:r w:rsidR="00400302">
        <w:rPr>
          <w:rFonts w:ascii="Arial" w:hAnsi="Arial" w:cs="Arial"/>
          <w:b/>
          <w:sz w:val="20"/>
          <w:szCs w:val="20"/>
        </w:rPr>
        <w:t>, 2014</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9667CF" w:rsidP="00741CD2">
            <w:pPr>
              <w:rPr>
                <w:rFonts w:ascii="Arial" w:hAnsi="Arial" w:cs="Arial"/>
                <w:sz w:val="20"/>
                <w:szCs w:val="20"/>
              </w:rPr>
            </w:pPr>
            <w:r>
              <w:rPr>
                <w:rFonts w:ascii="Arial" w:hAnsi="Arial" w:cs="Arial"/>
                <w:sz w:val="20"/>
                <w:szCs w:val="20"/>
              </w:rPr>
              <w:t>24</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9667CF" w:rsidP="009847CE">
            <w:pPr>
              <w:rPr>
                <w:rFonts w:ascii="Arial" w:hAnsi="Arial" w:cs="Arial"/>
                <w:sz w:val="20"/>
                <w:szCs w:val="20"/>
              </w:rPr>
            </w:pPr>
            <w:r>
              <w:rPr>
                <w:rFonts w:ascii="Arial" w:hAnsi="Arial" w:cs="Arial"/>
                <w:sz w:val="20"/>
                <w:szCs w:val="20"/>
              </w:rPr>
              <w:t>32</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9667CF" w:rsidP="006305EF">
            <w:pPr>
              <w:rPr>
                <w:rFonts w:ascii="Arial" w:hAnsi="Arial" w:cs="Arial"/>
                <w:sz w:val="20"/>
                <w:szCs w:val="20"/>
              </w:rPr>
            </w:pPr>
            <w:r>
              <w:rPr>
                <w:rFonts w:ascii="Arial" w:hAnsi="Arial" w:cs="Arial"/>
                <w:sz w:val="20"/>
                <w:szCs w:val="20"/>
              </w:rPr>
              <w:t>10</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9667CF" w:rsidP="006305EF">
            <w:pPr>
              <w:rPr>
                <w:rFonts w:ascii="Arial" w:hAnsi="Arial" w:cs="Arial"/>
                <w:sz w:val="20"/>
                <w:szCs w:val="20"/>
              </w:rPr>
            </w:pPr>
            <w:r>
              <w:rPr>
                <w:rFonts w:ascii="Arial" w:hAnsi="Arial" w:cs="Arial"/>
                <w:sz w:val="20"/>
                <w:szCs w:val="20"/>
              </w:rPr>
              <w:t>0</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733549" w:rsidRDefault="00733549" w:rsidP="00B67D93">
      <w:pPr>
        <w:rPr>
          <w:rFonts w:ascii="Arial" w:hAnsi="Arial" w:cs="Arial"/>
          <w:sz w:val="20"/>
          <w:szCs w:val="20"/>
        </w:rPr>
      </w:pPr>
    </w:p>
    <w:p w:rsidR="007F4B46" w:rsidRDefault="007F4B46" w:rsidP="00B67D93">
      <w:pPr>
        <w:rPr>
          <w:rFonts w:ascii="Arial" w:hAnsi="Arial" w:cs="Arial"/>
          <w:b/>
          <w:sz w:val="20"/>
          <w:szCs w:val="20"/>
        </w:rPr>
      </w:pPr>
      <w:r w:rsidRPr="00F81DF8">
        <w:rPr>
          <w:rFonts w:ascii="Arial" w:hAnsi="Arial" w:cs="Arial"/>
          <w:b/>
          <w:sz w:val="20"/>
          <w:szCs w:val="20"/>
        </w:rPr>
        <w:t>Details:</w:t>
      </w:r>
    </w:p>
    <w:p w:rsidR="00036B30" w:rsidRDefault="00036B30" w:rsidP="00036B30">
      <w:pPr>
        <w:numPr>
          <w:ilvl w:val="0"/>
          <w:numId w:val="1"/>
        </w:numPr>
        <w:rPr>
          <w:rFonts w:ascii="Arial" w:hAnsi="Arial" w:cs="Arial"/>
          <w:sz w:val="20"/>
          <w:szCs w:val="20"/>
        </w:rPr>
      </w:pPr>
      <w:r>
        <w:rPr>
          <w:rFonts w:ascii="Arial" w:hAnsi="Arial" w:cs="Arial"/>
          <w:sz w:val="20"/>
          <w:szCs w:val="20"/>
        </w:rPr>
        <w:t xml:space="preserve">Please see the </w:t>
      </w:r>
      <w:r w:rsidR="00CE40D6">
        <w:rPr>
          <w:rFonts w:ascii="Arial" w:hAnsi="Arial" w:cs="Arial"/>
          <w:sz w:val="20"/>
          <w:szCs w:val="20"/>
        </w:rPr>
        <w:t xml:space="preserve">appropriate tab in the </w:t>
      </w:r>
      <w:r>
        <w:rPr>
          <w:rFonts w:ascii="Arial" w:hAnsi="Arial" w:cs="Arial"/>
          <w:sz w:val="20"/>
          <w:szCs w:val="20"/>
        </w:rPr>
        <w:t>“</w:t>
      </w:r>
      <w:r w:rsidRPr="00036B30">
        <w:rPr>
          <w:rFonts w:ascii="Arial" w:hAnsi="Arial" w:cs="Arial"/>
          <w:sz w:val="20"/>
          <w:szCs w:val="20"/>
        </w:rPr>
        <w:t>NANPA Measurements</w:t>
      </w:r>
      <w:r>
        <w:rPr>
          <w:rFonts w:ascii="Arial" w:hAnsi="Arial" w:cs="Arial"/>
          <w:sz w:val="20"/>
          <w:szCs w:val="20"/>
        </w:rPr>
        <w:t xml:space="preserve">” document attached below for detailed information on Code </w:t>
      </w:r>
      <w:r w:rsidR="00645530">
        <w:rPr>
          <w:rFonts w:ascii="Arial" w:hAnsi="Arial" w:cs="Arial"/>
          <w:sz w:val="20"/>
          <w:szCs w:val="20"/>
        </w:rPr>
        <w:t>Quality</w:t>
      </w:r>
      <w:r>
        <w:rPr>
          <w:rFonts w:ascii="Arial" w:hAnsi="Arial" w:cs="Arial"/>
          <w:sz w:val="20"/>
          <w:szCs w:val="20"/>
        </w:rPr>
        <w:t xml:space="preserve">. </w:t>
      </w:r>
    </w:p>
    <w:p w:rsidR="009D5F09" w:rsidRDefault="009D5F09" w:rsidP="00036B30">
      <w:pPr>
        <w:numPr>
          <w:ilvl w:val="0"/>
          <w:numId w:val="1"/>
        </w:numPr>
        <w:rPr>
          <w:rFonts w:ascii="Arial" w:hAnsi="Arial" w:cs="Arial"/>
          <w:sz w:val="20"/>
          <w:szCs w:val="20"/>
        </w:rPr>
      </w:pPr>
      <w:r>
        <w:rPr>
          <w:rFonts w:ascii="Arial" w:hAnsi="Arial" w:cs="Arial"/>
          <w:sz w:val="20"/>
          <w:szCs w:val="20"/>
        </w:rPr>
        <w:t>NANPA noted that in the near future (March 2015 timeframe), applications submitted into NAS where the user does not have an active NAS registration will be denied.  An NNS notice as well as 4Q14 NANPA Newsletter article have been published reminding NAS users of the importance of maintaining an active NAS registration. Additional notifications will be sent prior to implementation of this requirement.</w:t>
      </w:r>
    </w:p>
    <w:p w:rsidR="00B56FF2" w:rsidRDefault="00B56FF2" w:rsidP="00DA5FE8">
      <w:pPr>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Default="007F4B46" w:rsidP="00F860D6">
      <w:pPr>
        <w:numPr>
          <w:ilvl w:val="0"/>
          <w:numId w:val="4"/>
        </w:numPr>
        <w:rPr>
          <w:rStyle w:val="Strong"/>
          <w:rFonts w:ascii="Arial" w:hAnsi="Arial" w:cs="Arial"/>
          <w:b w:val="0"/>
          <w:sz w:val="20"/>
          <w:szCs w:val="20"/>
        </w:rPr>
      </w:pPr>
      <w:r w:rsidRPr="00E862C9">
        <w:rPr>
          <w:rFonts w:ascii="Arial" w:hAnsi="Arial" w:cs="Arial"/>
          <w:sz w:val="20"/>
          <w:szCs w:val="20"/>
        </w:rPr>
        <w:t>Metrics/Benchmarks</w:t>
      </w:r>
      <w:r w:rsidR="00E862C9" w:rsidRPr="00E862C9">
        <w:rPr>
          <w:rFonts w:ascii="Arial" w:hAnsi="Arial" w:cs="Arial"/>
          <w:sz w:val="20"/>
          <w:szCs w:val="20"/>
        </w:rPr>
        <w:t xml:space="preserve"> - </w:t>
      </w:r>
      <w:r w:rsidRPr="00E862C9">
        <w:rPr>
          <w:rStyle w:val="Strong"/>
          <w:rFonts w:ascii="Arial" w:hAnsi="Arial" w:cs="Arial"/>
          <w:b w:val="0"/>
          <w:sz w:val="20"/>
          <w:szCs w:val="20"/>
        </w:rPr>
        <w:t xml:space="preserve">All metrics were met for </w:t>
      </w:r>
      <w:r w:rsidR="009667CF">
        <w:rPr>
          <w:rStyle w:val="Strong"/>
          <w:rFonts w:ascii="Arial" w:hAnsi="Arial" w:cs="Arial"/>
          <w:b w:val="0"/>
          <w:sz w:val="20"/>
          <w:szCs w:val="20"/>
        </w:rPr>
        <w:t>December</w:t>
      </w:r>
    </w:p>
    <w:p w:rsidR="008353FD" w:rsidRDefault="008353FD" w:rsidP="00F860D6">
      <w:pPr>
        <w:numPr>
          <w:ilvl w:val="0"/>
          <w:numId w:val="4"/>
        </w:numPr>
        <w:rPr>
          <w:rStyle w:val="Strong"/>
          <w:rFonts w:ascii="Arial" w:hAnsi="Arial" w:cs="Arial"/>
          <w:b w:val="0"/>
          <w:sz w:val="20"/>
          <w:szCs w:val="20"/>
        </w:rPr>
      </w:pPr>
      <w:r w:rsidRPr="00F23807">
        <w:rPr>
          <w:rStyle w:val="Strong"/>
          <w:rFonts w:ascii="Arial" w:hAnsi="Arial" w:cs="Arial"/>
          <w:b w:val="0"/>
          <w:sz w:val="20"/>
          <w:szCs w:val="20"/>
        </w:rPr>
        <w:t xml:space="preserve">There were </w:t>
      </w:r>
      <w:r w:rsidR="00162A77">
        <w:rPr>
          <w:rStyle w:val="Strong"/>
          <w:rFonts w:ascii="Arial" w:hAnsi="Arial" w:cs="Arial"/>
          <w:b w:val="0"/>
          <w:sz w:val="20"/>
          <w:szCs w:val="20"/>
        </w:rPr>
        <w:t>0</w:t>
      </w:r>
      <w:r w:rsidR="000D5FEF">
        <w:rPr>
          <w:rStyle w:val="Strong"/>
          <w:rFonts w:ascii="Arial" w:hAnsi="Arial" w:cs="Arial"/>
          <w:b w:val="0"/>
          <w:sz w:val="20"/>
          <w:szCs w:val="20"/>
        </w:rPr>
        <w:t xml:space="preserve"> 5</w:t>
      </w:r>
      <w:r w:rsidR="00E000B4" w:rsidRPr="00F23807">
        <w:rPr>
          <w:rStyle w:val="Strong"/>
          <w:rFonts w:ascii="Arial" w:hAnsi="Arial" w:cs="Arial"/>
          <w:b w:val="0"/>
          <w:sz w:val="20"/>
          <w:szCs w:val="20"/>
        </w:rPr>
        <w:t xml:space="preserve">XX-NXX </w:t>
      </w:r>
      <w:r w:rsidRPr="00F23807">
        <w:rPr>
          <w:rStyle w:val="Strong"/>
          <w:rFonts w:ascii="Arial" w:hAnsi="Arial" w:cs="Arial"/>
          <w:b w:val="0"/>
          <w:sz w:val="20"/>
          <w:szCs w:val="20"/>
        </w:rPr>
        <w:t xml:space="preserve">assignments made in </w:t>
      </w:r>
      <w:r w:rsidR="009667CF">
        <w:rPr>
          <w:rStyle w:val="Strong"/>
          <w:rFonts w:ascii="Arial" w:hAnsi="Arial" w:cs="Arial"/>
          <w:b w:val="0"/>
          <w:sz w:val="20"/>
          <w:szCs w:val="20"/>
        </w:rPr>
        <w:t>December</w:t>
      </w:r>
    </w:p>
    <w:p w:rsidR="006669C6" w:rsidRDefault="006669C6" w:rsidP="00B27F5A">
      <w:pPr>
        <w:numPr>
          <w:ilvl w:val="0"/>
          <w:numId w:val="4"/>
        </w:numPr>
        <w:rPr>
          <w:rFonts w:ascii="Arial" w:hAnsi="Arial" w:cs="Arial"/>
          <w:sz w:val="20"/>
          <w:szCs w:val="20"/>
        </w:rPr>
      </w:pPr>
      <w:r>
        <w:rPr>
          <w:rFonts w:ascii="Arial" w:hAnsi="Arial" w:cs="Arial"/>
          <w:sz w:val="20"/>
          <w:szCs w:val="20"/>
        </w:rPr>
        <w:t xml:space="preserve">There were </w:t>
      </w:r>
      <w:r w:rsidR="009667CF">
        <w:rPr>
          <w:rFonts w:ascii="Arial" w:hAnsi="Arial" w:cs="Arial"/>
          <w:sz w:val="20"/>
          <w:szCs w:val="20"/>
        </w:rPr>
        <w:t>4</w:t>
      </w:r>
      <w:r w:rsidR="00162A77">
        <w:rPr>
          <w:rFonts w:ascii="Arial" w:hAnsi="Arial" w:cs="Arial"/>
          <w:sz w:val="20"/>
          <w:szCs w:val="20"/>
        </w:rPr>
        <w:t xml:space="preserve"> </w:t>
      </w:r>
      <w:r w:rsidR="0046721D">
        <w:rPr>
          <w:rFonts w:ascii="Arial" w:hAnsi="Arial" w:cs="Arial"/>
          <w:sz w:val="20"/>
          <w:szCs w:val="20"/>
        </w:rPr>
        <w:t xml:space="preserve">CIC </w:t>
      </w:r>
      <w:r w:rsidR="00935BCB">
        <w:rPr>
          <w:rFonts w:ascii="Arial" w:hAnsi="Arial" w:cs="Arial"/>
          <w:sz w:val="20"/>
          <w:szCs w:val="20"/>
        </w:rPr>
        <w:t>reclamations</w:t>
      </w:r>
      <w:r w:rsidR="00E01292">
        <w:rPr>
          <w:rFonts w:ascii="Arial" w:hAnsi="Arial" w:cs="Arial"/>
          <w:sz w:val="20"/>
          <w:szCs w:val="20"/>
        </w:rPr>
        <w:t>/returns</w:t>
      </w:r>
      <w:r w:rsidR="00935BCB">
        <w:rPr>
          <w:rFonts w:ascii="Arial" w:hAnsi="Arial" w:cs="Arial"/>
          <w:sz w:val="20"/>
          <w:szCs w:val="20"/>
        </w:rPr>
        <w:t xml:space="preserve"> in </w:t>
      </w:r>
      <w:r w:rsidR="009667CF">
        <w:rPr>
          <w:rFonts w:ascii="Arial" w:hAnsi="Arial" w:cs="Arial"/>
          <w:sz w:val="20"/>
          <w:szCs w:val="20"/>
        </w:rPr>
        <w:t>December</w:t>
      </w:r>
    </w:p>
    <w:p w:rsidR="009667CF" w:rsidRDefault="009667CF" w:rsidP="00B27F5A">
      <w:pPr>
        <w:numPr>
          <w:ilvl w:val="0"/>
          <w:numId w:val="4"/>
        </w:numPr>
        <w:rPr>
          <w:rFonts w:ascii="Arial" w:hAnsi="Arial" w:cs="Arial"/>
          <w:sz w:val="20"/>
          <w:szCs w:val="20"/>
        </w:rPr>
      </w:pPr>
      <w:r>
        <w:rPr>
          <w:rFonts w:ascii="Arial" w:hAnsi="Arial" w:cs="Arial"/>
          <w:sz w:val="20"/>
          <w:szCs w:val="20"/>
        </w:rPr>
        <w:t>There were 50 5XX reclamations/returns in December</w:t>
      </w:r>
    </w:p>
    <w:p w:rsidR="00B27F5A" w:rsidRDefault="00B27F5A" w:rsidP="00B27F5A">
      <w:pPr>
        <w:numPr>
          <w:ilvl w:val="0"/>
          <w:numId w:val="4"/>
        </w:numPr>
        <w:rPr>
          <w:rFonts w:ascii="Arial" w:hAnsi="Arial" w:cs="Arial"/>
          <w:sz w:val="20"/>
          <w:szCs w:val="20"/>
        </w:rPr>
      </w:pPr>
      <w:r w:rsidRPr="006F62A4">
        <w:rPr>
          <w:rFonts w:ascii="Arial" w:hAnsi="Arial" w:cs="Arial"/>
          <w:sz w:val="20"/>
          <w:szCs w:val="20"/>
        </w:rPr>
        <w:t xml:space="preserve">Status of Resources - Please see the appropriate tab in the “NANPA Measurements” document attached below for detailed </w:t>
      </w:r>
      <w:r w:rsidR="0046721D">
        <w:rPr>
          <w:rFonts w:ascii="Arial" w:hAnsi="Arial" w:cs="Arial"/>
          <w:sz w:val="20"/>
          <w:szCs w:val="20"/>
        </w:rPr>
        <w:t>information on Other Resources</w:t>
      </w:r>
    </w:p>
    <w:p w:rsidR="00162A77" w:rsidRPr="00162A77" w:rsidRDefault="00162A77" w:rsidP="009667CF">
      <w:pPr>
        <w:pStyle w:val="ListParagraph"/>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7" w:name="_Toc320540187"/>
      <w:r w:rsidRPr="00715B09">
        <w:rPr>
          <w:rFonts w:ascii="Arial" w:hAnsi="Arial" w:cs="Arial"/>
          <w:sz w:val="20"/>
          <w:szCs w:val="20"/>
          <w:u w:val="single"/>
        </w:rPr>
        <w:t>Numbering Resource Utilization/Forecasting (NRUF)</w:t>
      </w:r>
      <w:bookmarkEnd w:id="7"/>
    </w:p>
    <w:p w:rsidR="00935BCB" w:rsidRDefault="00935BCB" w:rsidP="00F27D26">
      <w:pPr>
        <w:numPr>
          <w:ilvl w:val="0"/>
          <w:numId w:val="7"/>
        </w:numPr>
        <w:rPr>
          <w:rFonts w:ascii="Arial" w:hAnsi="Arial" w:cs="Arial"/>
          <w:sz w:val="20"/>
          <w:szCs w:val="20"/>
        </w:rPr>
      </w:pPr>
      <w:r>
        <w:rPr>
          <w:rFonts w:ascii="Arial" w:hAnsi="Arial" w:cs="Arial"/>
          <w:sz w:val="20"/>
          <w:szCs w:val="20"/>
        </w:rPr>
        <w:t xml:space="preserve">Metrics/Benchmarks – All metrics were met for </w:t>
      </w:r>
      <w:r w:rsidR="009667CF">
        <w:rPr>
          <w:rFonts w:ascii="Arial" w:hAnsi="Arial" w:cs="Arial"/>
          <w:sz w:val="20"/>
          <w:szCs w:val="20"/>
        </w:rPr>
        <w:t>December</w:t>
      </w:r>
    </w:p>
    <w:p w:rsidR="0046721D" w:rsidRDefault="009667CF" w:rsidP="0046721D">
      <w:pPr>
        <w:numPr>
          <w:ilvl w:val="0"/>
          <w:numId w:val="7"/>
        </w:numPr>
        <w:rPr>
          <w:rFonts w:ascii="Arial" w:hAnsi="Arial" w:cs="Arial"/>
          <w:sz w:val="20"/>
          <w:szCs w:val="20"/>
        </w:rPr>
      </w:pPr>
      <w:r>
        <w:rPr>
          <w:rFonts w:ascii="Arial" w:hAnsi="Arial" w:cs="Arial"/>
          <w:sz w:val="20"/>
          <w:szCs w:val="20"/>
        </w:rPr>
        <w:t xml:space="preserve">219 </w:t>
      </w:r>
      <w:r w:rsidR="000E0388" w:rsidRPr="00413E05">
        <w:rPr>
          <w:rFonts w:ascii="Arial" w:hAnsi="Arial" w:cs="Arial"/>
          <w:sz w:val="20"/>
          <w:szCs w:val="20"/>
        </w:rPr>
        <w:t xml:space="preserve">NRUF submissions were received in </w:t>
      </w:r>
      <w:r>
        <w:rPr>
          <w:rFonts w:ascii="Arial" w:hAnsi="Arial" w:cs="Arial"/>
          <w:sz w:val="20"/>
          <w:szCs w:val="20"/>
        </w:rPr>
        <w:t>December</w:t>
      </w:r>
    </w:p>
    <w:p w:rsidR="0046721D" w:rsidRPr="0046721D" w:rsidRDefault="00162A77" w:rsidP="0046721D">
      <w:pPr>
        <w:numPr>
          <w:ilvl w:val="0"/>
          <w:numId w:val="7"/>
        </w:numPr>
        <w:rPr>
          <w:rFonts w:ascii="Arial" w:hAnsi="Arial" w:cs="Arial"/>
          <w:sz w:val="20"/>
          <w:szCs w:val="20"/>
        </w:rPr>
      </w:pPr>
      <w:r>
        <w:rPr>
          <w:rFonts w:ascii="Arial" w:hAnsi="Arial" w:cs="Arial"/>
          <w:sz w:val="20"/>
          <w:szCs w:val="20"/>
        </w:rPr>
        <w:t>There were 1</w:t>
      </w:r>
      <w:r w:rsidR="0098650A">
        <w:rPr>
          <w:rFonts w:ascii="Arial" w:hAnsi="Arial" w:cs="Arial"/>
          <w:sz w:val="20"/>
          <w:szCs w:val="20"/>
        </w:rPr>
        <w:t>7</w:t>
      </w:r>
      <w:r>
        <w:rPr>
          <w:rFonts w:ascii="Arial" w:hAnsi="Arial" w:cs="Arial"/>
          <w:sz w:val="20"/>
          <w:szCs w:val="20"/>
        </w:rPr>
        <w:t xml:space="preserve"> error notifications sent</w:t>
      </w:r>
    </w:p>
    <w:p w:rsidR="004E3DE2" w:rsidRDefault="00B27F5A" w:rsidP="00F27D26">
      <w:pPr>
        <w:numPr>
          <w:ilvl w:val="0"/>
          <w:numId w:val="7"/>
        </w:numPr>
        <w:rPr>
          <w:rFonts w:ascii="Arial" w:hAnsi="Arial" w:cs="Arial"/>
          <w:sz w:val="20"/>
          <w:szCs w:val="20"/>
        </w:rPr>
      </w:pPr>
      <w:r w:rsidRPr="00413E05">
        <w:rPr>
          <w:rFonts w:ascii="Arial" w:hAnsi="Arial" w:cs="Arial"/>
          <w:sz w:val="20"/>
          <w:szCs w:val="20"/>
        </w:rPr>
        <w:t>Metrics/Benchmarks – Please see the appropriate t</w:t>
      </w:r>
      <w:r w:rsidR="006B45F5" w:rsidRPr="00413E05">
        <w:rPr>
          <w:rFonts w:ascii="Arial" w:hAnsi="Arial" w:cs="Arial"/>
          <w:sz w:val="20"/>
          <w:szCs w:val="20"/>
        </w:rPr>
        <w:t>ab in the “NANPA Measurements</w:t>
      </w:r>
      <w:r w:rsidRPr="00413E05">
        <w:rPr>
          <w:rFonts w:ascii="Arial" w:hAnsi="Arial" w:cs="Arial"/>
          <w:sz w:val="20"/>
          <w:szCs w:val="20"/>
        </w:rPr>
        <w:t>” document attached below for detailed information on NRUF Performance Measure</w:t>
      </w:r>
      <w:r w:rsidR="00D16CF8" w:rsidRPr="00413E05">
        <w:rPr>
          <w:rFonts w:ascii="Arial" w:hAnsi="Arial" w:cs="Arial"/>
          <w:sz w:val="20"/>
          <w:szCs w:val="20"/>
        </w:rPr>
        <w:t>ments</w:t>
      </w:r>
      <w:r w:rsidR="001C4232">
        <w:rPr>
          <w:rFonts w:ascii="Arial" w:hAnsi="Arial" w:cs="Arial"/>
          <w:sz w:val="20"/>
          <w:szCs w:val="20"/>
        </w:rPr>
        <w:t>.</w:t>
      </w:r>
    </w:p>
    <w:p w:rsidR="001C4232" w:rsidRPr="00162A77" w:rsidRDefault="0098650A" w:rsidP="00162A77">
      <w:pPr>
        <w:pStyle w:val="ListParagraph"/>
        <w:numPr>
          <w:ilvl w:val="0"/>
          <w:numId w:val="7"/>
        </w:numPr>
        <w:rPr>
          <w:rFonts w:ascii="Arial" w:hAnsi="Arial" w:cs="Arial"/>
          <w:sz w:val="20"/>
          <w:szCs w:val="20"/>
        </w:rPr>
      </w:pPr>
      <w:r>
        <w:rPr>
          <w:rFonts w:ascii="Arial" w:hAnsi="Arial" w:cs="Arial"/>
          <w:sz w:val="20"/>
          <w:szCs w:val="20"/>
        </w:rPr>
        <w:t>NNS notification sent informing users about the availability of the UMR.</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98650A" w:rsidP="00306B13">
      <w:r>
        <w:object w:dxaOrig="1531" w:dyaOrig="990">
          <v:shape id="_x0000_i1026" type="#_x0000_t75" style="width:76.5pt;height:49.5pt" o:ole="">
            <v:imagedata r:id="rId11" o:title=""/>
          </v:shape>
          <o:OLEObject Type="Embed" ProgID="Excel.Sheet.12" ShapeID="_x0000_i1026" DrawAspect="Icon" ObjectID="_1484486729" r:id="rId12"/>
        </w:object>
      </w:r>
    </w:p>
    <w:p w:rsidR="007F4B46" w:rsidRPr="00DE2705" w:rsidRDefault="007F4B46" w:rsidP="00CF3D52">
      <w:pPr>
        <w:pStyle w:val="Heading1"/>
        <w:rPr>
          <w:rFonts w:ascii="Arial" w:hAnsi="Arial" w:cs="Arial"/>
          <w:sz w:val="20"/>
          <w:szCs w:val="20"/>
          <w:u w:val="single"/>
        </w:rPr>
      </w:pPr>
      <w:bookmarkStart w:id="8" w:name="_Toc320540188"/>
      <w:r w:rsidRPr="00DE2705">
        <w:rPr>
          <w:rFonts w:ascii="Arial" w:hAnsi="Arial" w:cs="Arial"/>
          <w:sz w:val="20"/>
          <w:szCs w:val="20"/>
          <w:u w:val="single"/>
        </w:rPr>
        <w:t>NPA Relief Planning</w:t>
      </w:r>
      <w:bookmarkEnd w:id="8"/>
    </w:p>
    <w:p w:rsidR="002239F4" w:rsidRDefault="00042717"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Metrics/Benchmarks – Please see the appropriate t</w:t>
      </w:r>
      <w:r w:rsidR="006B45F5">
        <w:rPr>
          <w:rFonts w:ascii="Arial" w:hAnsi="Arial" w:cs="Arial"/>
          <w:sz w:val="20"/>
          <w:szCs w:val="20"/>
        </w:rPr>
        <w:t>ab in the “NANPA Measurements</w:t>
      </w:r>
      <w:r w:rsidRPr="00DE2705">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 xml:space="preserve">All metrics for </w:t>
      </w:r>
      <w:r w:rsidR="0098650A">
        <w:rPr>
          <w:rFonts w:ascii="Arial" w:hAnsi="Arial" w:cs="Arial"/>
          <w:sz w:val="20"/>
          <w:szCs w:val="20"/>
        </w:rPr>
        <w:t xml:space="preserve">December </w:t>
      </w:r>
      <w:r w:rsidR="001871EC">
        <w:rPr>
          <w:rFonts w:ascii="Arial" w:hAnsi="Arial" w:cs="Arial"/>
          <w:sz w:val="20"/>
          <w:szCs w:val="20"/>
        </w:rPr>
        <w:t>were met.</w:t>
      </w:r>
    </w:p>
    <w:p w:rsidR="001C4232" w:rsidRPr="0098650A" w:rsidRDefault="0098650A" w:rsidP="00572EF7">
      <w:pPr>
        <w:numPr>
          <w:ilvl w:val="0"/>
          <w:numId w:val="2"/>
        </w:numPr>
        <w:tabs>
          <w:tab w:val="num" w:pos="-1820"/>
        </w:tabs>
        <w:ind w:left="360"/>
        <w:rPr>
          <w:rFonts w:ascii="Arial" w:hAnsi="Arial" w:cs="Arial"/>
          <w:b/>
          <w:sz w:val="20"/>
          <w:szCs w:val="20"/>
        </w:rPr>
      </w:pPr>
      <w:r>
        <w:rPr>
          <w:rFonts w:ascii="Arial" w:hAnsi="Arial" w:cs="Arial"/>
          <w:sz w:val="20"/>
          <w:szCs w:val="20"/>
        </w:rPr>
        <w:lastRenderedPageBreak/>
        <w:t>NY PSC staff was notified that 934 NPA will be the new code assigned to overlay NY 631.</w:t>
      </w:r>
    </w:p>
    <w:p w:rsidR="0098650A" w:rsidRPr="0098650A" w:rsidRDefault="0098650A" w:rsidP="00572EF7">
      <w:pPr>
        <w:numPr>
          <w:ilvl w:val="0"/>
          <w:numId w:val="2"/>
        </w:numPr>
        <w:tabs>
          <w:tab w:val="num" w:pos="-1820"/>
        </w:tabs>
        <w:ind w:left="360"/>
        <w:rPr>
          <w:rFonts w:ascii="Arial" w:hAnsi="Arial" w:cs="Arial"/>
          <w:b/>
          <w:sz w:val="20"/>
          <w:szCs w:val="20"/>
        </w:rPr>
      </w:pPr>
      <w:r>
        <w:rPr>
          <w:rFonts w:ascii="Arial" w:hAnsi="Arial" w:cs="Arial"/>
          <w:sz w:val="20"/>
          <w:szCs w:val="20"/>
        </w:rPr>
        <w:t>Discussed with OH PSC staff on when the order will be issued for OH614 mandatory dialing.</w:t>
      </w:r>
    </w:p>
    <w:p w:rsidR="0098650A" w:rsidRPr="0098650A" w:rsidRDefault="0098650A" w:rsidP="00572EF7">
      <w:pPr>
        <w:numPr>
          <w:ilvl w:val="0"/>
          <w:numId w:val="2"/>
        </w:numPr>
        <w:tabs>
          <w:tab w:val="num" w:pos="-1820"/>
        </w:tabs>
        <w:ind w:left="360"/>
        <w:rPr>
          <w:rFonts w:ascii="Arial" w:hAnsi="Arial" w:cs="Arial"/>
          <w:b/>
          <w:sz w:val="20"/>
          <w:szCs w:val="20"/>
        </w:rPr>
      </w:pPr>
      <w:r>
        <w:rPr>
          <w:rFonts w:ascii="Arial" w:hAnsi="Arial" w:cs="Arial"/>
          <w:sz w:val="20"/>
          <w:szCs w:val="20"/>
        </w:rPr>
        <w:t>Provided answers to CPUC staff on customer inquiries on the 415 overlay</w:t>
      </w:r>
    </w:p>
    <w:p w:rsidR="0098650A" w:rsidRPr="00B251A1" w:rsidRDefault="0098650A" w:rsidP="00F543C6">
      <w:pPr>
        <w:ind w:left="360"/>
        <w:rPr>
          <w:rFonts w:ascii="Arial" w:hAnsi="Arial" w:cs="Arial"/>
          <w:b/>
          <w:sz w:val="20"/>
          <w:szCs w:val="20"/>
        </w:rPr>
      </w:pPr>
    </w:p>
    <w:p w:rsidR="00F62C1C" w:rsidRDefault="00F62C1C" w:rsidP="00572EF7">
      <w:pPr>
        <w:ind w:left="360"/>
        <w:rPr>
          <w:rFonts w:ascii="Arial" w:hAnsi="Arial" w:cs="Arial"/>
          <w:sz w:val="20"/>
          <w:szCs w:val="20"/>
        </w:rPr>
      </w:pPr>
    </w:p>
    <w:p w:rsidR="00F62C1C" w:rsidRDefault="00F62C1C" w:rsidP="00F62C1C">
      <w:pPr>
        <w:rPr>
          <w:rFonts w:ascii="Arial" w:hAnsi="Arial" w:cs="Arial"/>
          <w:sz w:val="20"/>
          <w:szCs w:val="20"/>
        </w:rPr>
      </w:pPr>
      <w:r>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9" w:name="_MON_1482905951"/>
    <w:bookmarkEnd w:id="9"/>
    <w:p w:rsidR="006B45F5" w:rsidRPr="00DE2705" w:rsidRDefault="0069142F" w:rsidP="006B45F5">
      <w:pPr>
        <w:rPr>
          <w:rFonts w:ascii="Arial" w:hAnsi="Arial" w:cs="Arial"/>
          <w:sz w:val="20"/>
          <w:szCs w:val="20"/>
        </w:rPr>
      </w:pPr>
      <w:r>
        <w:rPr>
          <w:rFonts w:ascii="Arial" w:hAnsi="Arial" w:cs="Arial"/>
          <w:sz w:val="20"/>
          <w:szCs w:val="20"/>
        </w:rPr>
        <w:object w:dxaOrig="1531" w:dyaOrig="990">
          <v:shape id="_x0000_i1027" type="#_x0000_t75" style="width:76.5pt;height:49.5pt" o:ole="">
            <v:imagedata r:id="rId13" o:title=""/>
          </v:shape>
          <o:OLEObject Type="Embed" ProgID="Word.Document.8" ShapeID="_x0000_i1027" DrawAspect="Icon" ObjectID="_1484486730" r:id="rId14">
            <o:FieldCodes>\s</o:FieldCodes>
          </o:OLEObject>
        </w:object>
      </w: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AD257C" w:rsidRPr="00087915" w:rsidRDefault="00F66AA7" w:rsidP="00AD257C">
      <w:pPr>
        <w:pStyle w:val="ListParagraph"/>
        <w:numPr>
          <w:ilvl w:val="0"/>
          <w:numId w:val="36"/>
        </w:numPr>
        <w:rPr>
          <w:rFonts w:ascii="Arial" w:hAnsi="Arial" w:cs="Arial"/>
          <w:sz w:val="20"/>
          <w:szCs w:val="20"/>
        </w:rPr>
      </w:pPr>
      <w:r>
        <w:rPr>
          <w:rFonts w:ascii="Arial" w:hAnsi="Arial" w:cs="Arial"/>
          <w:sz w:val="20"/>
          <w:szCs w:val="20"/>
        </w:rPr>
        <w:t>None reported.</w:t>
      </w:r>
    </w:p>
    <w:p w:rsidR="007F4B46" w:rsidRDefault="007F4B46" w:rsidP="00CF3D52">
      <w:pPr>
        <w:pStyle w:val="Heading1"/>
        <w:rPr>
          <w:rFonts w:ascii="Arial" w:hAnsi="Arial" w:cs="Arial"/>
          <w:sz w:val="20"/>
          <w:szCs w:val="20"/>
          <w:u w:val="single"/>
        </w:rPr>
      </w:pPr>
      <w:bookmarkStart w:id="11"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F543C6" w:rsidRDefault="00F543C6" w:rsidP="00AB3E34">
      <w:pPr>
        <w:pStyle w:val="Heading1"/>
        <w:numPr>
          <w:ilvl w:val="0"/>
          <w:numId w:val="10"/>
        </w:numPr>
        <w:spacing w:before="0" w:after="0"/>
        <w:rPr>
          <w:rFonts w:ascii="Arial" w:hAnsi="Arial" w:cs="Arial"/>
          <w:b w:val="0"/>
          <w:bCs w:val="0"/>
          <w:kern w:val="0"/>
          <w:sz w:val="20"/>
          <w:szCs w:val="20"/>
        </w:rPr>
      </w:pPr>
      <w:bookmarkStart w:id="12" w:name="_Toc320540191"/>
      <w:r>
        <w:rPr>
          <w:rFonts w:ascii="Arial" w:hAnsi="Arial" w:cs="Arial"/>
          <w:b w:val="0"/>
          <w:bCs w:val="0"/>
          <w:kern w:val="0"/>
          <w:sz w:val="20"/>
          <w:szCs w:val="20"/>
        </w:rPr>
        <w:t xml:space="preserve">4Q NANPA Newsletter </w:t>
      </w:r>
      <w:r w:rsidR="009D5F09">
        <w:rPr>
          <w:rFonts w:ascii="Arial" w:hAnsi="Arial" w:cs="Arial"/>
          <w:b w:val="0"/>
          <w:bCs w:val="0"/>
          <w:kern w:val="0"/>
          <w:sz w:val="20"/>
          <w:szCs w:val="20"/>
        </w:rPr>
        <w:t>was</w:t>
      </w:r>
      <w:r>
        <w:rPr>
          <w:rFonts w:ascii="Arial" w:hAnsi="Arial" w:cs="Arial"/>
          <w:b w:val="0"/>
          <w:bCs w:val="0"/>
          <w:kern w:val="0"/>
          <w:sz w:val="20"/>
          <w:szCs w:val="20"/>
        </w:rPr>
        <w:t xml:space="preserve"> published </w:t>
      </w:r>
      <w:r w:rsidR="009D5F09">
        <w:rPr>
          <w:rFonts w:ascii="Arial" w:hAnsi="Arial" w:cs="Arial"/>
          <w:b w:val="0"/>
          <w:bCs w:val="0"/>
          <w:kern w:val="0"/>
          <w:sz w:val="20"/>
          <w:szCs w:val="20"/>
        </w:rPr>
        <w:t xml:space="preserve">on </w:t>
      </w:r>
      <w:r>
        <w:rPr>
          <w:rFonts w:ascii="Arial" w:hAnsi="Arial" w:cs="Arial"/>
          <w:b w:val="0"/>
          <w:bCs w:val="0"/>
          <w:kern w:val="0"/>
          <w:sz w:val="20"/>
          <w:szCs w:val="20"/>
        </w:rPr>
        <w:t>January</w:t>
      </w:r>
      <w:r w:rsidR="009D5F09">
        <w:rPr>
          <w:rFonts w:ascii="Arial" w:hAnsi="Arial" w:cs="Arial"/>
          <w:b w:val="0"/>
          <w:bCs w:val="0"/>
          <w:kern w:val="0"/>
          <w:sz w:val="20"/>
          <w:szCs w:val="20"/>
        </w:rPr>
        <w:t xml:space="preserve"> 6, </w:t>
      </w:r>
      <w:r>
        <w:rPr>
          <w:rFonts w:ascii="Arial" w:hAnsi="Arial" w:cs="Arial"/>
          <w:b w:val="0"/>
          <w:bCs w:val="0"/>
          <w:kern w:val="0"/>
          <w:sz w:val="20"/>
          <w:szCs w:val="20"/>
        </w:rPr>
        <w:t>2015</w:t>
      </w:r>
    </w:p>
    <w:p w:rsidR="005F6EEE" w:rsidRDefault="00EB42D8" w:rsidP="00AB3E34">
      <w:pPr>
        <w:pStyle w:val="Heading1"/>
        <w:numPr>
          <w:ilvl w:val="0"/>
          <w:numId w:val="10"/>
        </w:numPr>
        <w:spacing w:before="0" w:after="0"/>
        <w:rPr>
          <w:rFonts w:ascii="Arial" w:hAnsi="Arial" w:cs="Arial"/>
          <w:b w:val="0"/>
          <w:bCs w:val="0"/>
          <w:kern w:val="0"/>
          <w:sz w:val="20"/>
          <w:szCs w:val="20"/>
        </w:rPr>
      </w:pPr>
      <w:r w:rsidRPr="00EE43B4">
        <w:rPr>
          <w:rFonts w:ascii="Arial" w:hAnsi="Arial" w:cs="Arial"/>
          <w:b w:val="0"/>
          <w:bCs w:val="0"/>
          <w:kern w:val="0"/>
          <w:sz w:val="20"/>
          <w:szCs w:val="20"/>
        </w:rPr>
        <w:t xml:space="preserve">NANPA responded to </w:t>
      </w:r>
      <w:r w:rsidR="0069142F">
        <w:rPr>
          <w:rFonts w:ascii="Arial" w:hAnsi="Arial" w:cs="Arial"/>
          <w:b w:val="0"/>
          <w:bCs w:val="0"/>
          <w:kern w:val="0"/>
          <w:sz w:val="20"/>
          <w:szCs w:val="20"/>
        </w:rPr>
        <w:t>17</w:t>
      </w:r>
      <w:r w:rsidR="004172EF">
        <w:rPr>
          <w:rFonts w:ascii="Arial" w:hAnsi="Arial" w:cs="Arial"/>
          <w:b w:val="0"/>
          <w:bCs w:val="0"/>
          <w:kern w:val="0"/>
          <w:sz w:val="20"/>
          <w:szCs w:val="20"/>
        </w:rPr>
        <w:t xml:space="preserve"> </w:t>
      </w:r>
      <w:r w:rsidRPr="00EE43B4">
        <w:rPr>
          <w:rFonts w:ascii="Arial" w:hAnsi="Arial" w:cs="Arial"/>
          <w:b w:val="0"/>
          <w:bCs w:val="0"/>
          <w:kern w:val="0"/>
          <w:sz w:val="20"/>
          <w:szCs w:val="20"/>
        </w:rPr>
        <w:t xml:space="preserve">NANPA feedback emails from </w:t>
      </w:r>
      <w:r w:rsidR="0069142F">
        <w:rPr>
          <w:rFonts w:ascii="Arial" w:hAnsi="Arial" w:cs="Arial"/>
          <w:b w:val="0"/>
          <w:bCs w:val="0"/>
          <w:kern w:val="0"/>
          <w:sz w:val="20"/>
          <w:szCs w:val="20"/>
        </w:rPr>
        <w:t>12</w:t>
      </w:r>
      <w:r w:rsidR="003245E5">
        <w:rPr>
          <w:rFonts w:ascii="Arial" w:hAnsi="Arial" w:cs="Arial"/>
          <w:b w:val="0"/>
          <w:bCs w:val="0"/>
          <w:kern w:val="0"/>
          <w:sz w:val="20"/>
          <w:szCs w:val="20"/>
        </w:rPr>
        <w:t>/1/14</w:t>
      </w:r>
      <w:r w:rsidRPr="00EE43B4">
        <w:rPr>
          <w:rFonts w:ascii="Arial" w:hAnsi="Arial" w:cs="Arial"/>
          <w:b w:val="0"/>
          <w:bCs w:val="0"/>
          <w:kern w:val="0"/>
          <w:sz w:val="20"/>
          <w:szCs w:val="20"/>
        </w:rPr>
        <w:t xml:space="preserve"> through</w:t>
      </w:r>
      <w:r w:rsidR="00F62C1C">
        <w:rPr>
          <w:rFonts w:ascii="Arial" w:hAnsi="Arial" w:cs="Arial"/>
          <w:b w:val="0"/>
          <w:bCs w:val="0"/>
          <w:kern w:val="0"/>
          <w:sz w:val="20"/>
          <w:szCs w:val="20"/>
        </w:rPr>
        <w:t xml:space="preserve"> </w:t>
      </w:r>
      <w:r w:rsidR="0069142F">
        <w:rPr>
          <w:rFonts w:ascii="Arial" w:hAnsi="Arial" w:cs="Arial"/>
          <w:b w:val="0"/>
          <w:bCs w:val="0"/>
          <w:kern w:val="0"/>
          <w:sz w:val="20"/>
          <w:szCs w:val="20"/>
        </w:rPr>
        <w:t>12/31</w:t>
      </w:r>
      <w:r w:rsidR="003245E5">
        <w:rPr>
          <w:rFonts w:ascii="Arial" w:hAnsi="Arial" w:cs="Arial"/>
          <w:b w:val="0"/>
          <w:bCs w:val="0"/>
          <w:kern w:val="0"/>
          <w:sz w:val="20"/>
          <w:szCs w:val="20"/>
        </w:rPr>
        <w:t>/14</w:t>
      </w:r>
      <w:r w:rsidR="007E4DB8">
        <w:rPr>
          <w:rFonts w:ascii="Arial" w:hAnsi="Arial" w:cs="Arial"/>
          <w:b w:val="0"/>
          <w:bCs w:val="0"/>
          <w:kern w:val="0"/>
          <w:sz w:val="20"/>
          <w:szCs w:val="20"/>
        </w:rPr>
        <w:t>.</w:t>
      </w:r>
    </w:p>
    <w:p w:rsidR="009D5F09" w:rsidRPr="009D5F09" w:rsidRDefault="005F6EEE" w:rsidP="009D5F09">
      <w:pPr>
        <w:pStyle w:val="Heading1"/>
        <w:numPr>
          <w:ilvl w:val="0"/>
          <w:numId w:val="10"/>
        </w:numPr>
        <w:spacing w:before="0" w:after="0"/>
        <w:rPr>
          <w:rFonts w:ascii="Arial" w:hAnsi="Arial" w:cs="Arial"/>
          <w:b w:val="0"/>
          <w:bCs w:val="0"/>
          <w:kern w:val="0"/>
          <w:sz w:val="20"/>
          <w:szCs w:val="20"/>
        </w:rPr>
      </w:pPr>
      <w:r>
        <w:rPr>
          <w:rFonts w:ascii="Arial" w:hAnsi="Arial" w:cs="Arial"/>
          <w:b w:val="0"/>
          <w:bCs w:val="0"/>
          <w:kern w:val="0"/>
          <w:sz w:val="20"/>
          <w:szCs w:val="20"/>
        </w:rPr>
        <w:t xml:space="preserve">State Reclamation Contact List </w:t>
      </w:r>
      <w:r w:rsidR="00B251A1">
        <w:rPr>
          <w:rFonts w:ascii="Arial" w:hAnsi="Arial" w:cs="Arial"/>
          <w:b w:val="0"/>
          <w:bCs w:val="0"/>
          <w:kern w:val="0"/>
          <w:sz w:val="20"/>
          <w:szCs w:val="20"/>
        </w:rPr>
        <w:t>has been updated.</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Default="00F31D18" w:rsidP="00F81DF8">
      <w:pPr>
        <w:rPr>
          <w:rFonts w:ascii="Arial" w:hAnsi="Arial" w:cs="Arial"/>
          <w:sz w:val="20"/>
          <w:szCs w:val="20"/>
        </w:rPr>
      </w:pPr>
      <w:r>
        <w:rPr>
          <w:rFonts w:ascii="Arial" w:hAnsi="Arial" w:cs="Arial"/>
          <w:sz w:val="20"/>
          <w:szCs w:val="20"/>
        </w:rPr>
        <w:t>N/A</w:t>
      </w:r>
    </w:p>
    <w:p w:rsidR="00F31D18" w:rsidRDefault="00F31D18" w:rsidP="009F4DB3">
      <w:pPr>
        <w:rPr>
          <w:rFonts w:ascii="Arial" w:hAnsi="Arial" w:cs="Arial"/>
          <w:b/>
          <w:sz w:val="20"/>
          <w:szCs w:val="20"/>
          <w:u w:val="single"/>
        </w:rPr>
      </w:pPr>
    </w:p>
    <w:p w:rsidR="009F4DB3" w:rsidRDefault="008E0D0B" w:rsidP="009F4DB3">
      <w:pPr>
        <w:rPr>
          <w:rFonts w:ascii="Arial" w:hAnsi="Arial" w:cs="Arial"/>
          <w:b/>
          <w:sz w:val="20"/>
          <w:szCs w:val="20"/>
          <w:u w:val="single"/>
        </w:rPr>
      </w:pPr>
      <w:r>
        <w:rPr>
          <w:rFonts w:ascii="Arial" w:hAnsi="Arial" w:cs="Arial"/>
          <w:b/>
          <w:sz w:val="20"/>
          <w:szCs w:val="20"/>
          <w:u w:val="single"/>
        </w:rPr>
        <w:t>Open Discussion</w:t>
      </w:r>
    </w:p>
    <w:p w:rsidR="00F543C6" w:rsidRDefault="00F543C6" w:rsidP="00F543C6">
      <w:pPr>
        <w:pStyle w:val="ListParagraph"/>
        <w:numPr>
          <w:ilvl w:val="0"/>
          <w:numId w:val="37"/>
        </w:numPr>
        <w:rPr>
          <w:rFonts w:ascii="Arial" w:hAnsi="Arial" w:cs="Arial"/>
          <w:sz w:val="20"/>
          <w:szCs w:val="20"/>
        </w:rPr>
      </w:pPr>
      <w:r w:rsidRPr="00F543C6">
        <w:rPr>
          <w:rFonts w:ascii="Arial" w:hAnsi="Arial" w:cs="Arial"/>
          <w:sz w:val="20"/>
          <w:szCs w:val="20"/>
        </w:rPr>
        <w:t>NANPA Operational Review is scheduled for February 24-25, 2015</w:t>
      </w:r>
    </w:p>
    <w:p w:rsidR="00F543C6" w:rsidRDefault="00F66AA7" w:rsidP="00F543C6">
      <w:pPr>
        <w:pStyle w:val="ListParagraph"/>
        <w:numPr>
          <w:ilvl w:val="0"/>
          <w:numId w:val="37"/>
        </w:numPr>
        <w:rPr>
          <w:rFonts w:ascii="Arial" w:hAnsi="Arial" w:cs="Arial"/>
          <w:sz w:val="20"/>
          <w:szCs w:val="20"/>
        </w:rPr>
      </w:pPr>
      <w:r>
        <w:rPr>
          <w:rFonts w:ascii="Arial" w:hAnsi="Arial" w:cs="Arial"/>
          <w:sz w:val="20"/>
          <w:szCs w:val="20"/>
        </w:rPr>
        <w:t xml:space="preserve">2014 Annual Report – a draft copy will be provided to the NOWG on 2/12 with comments due back to the NANPA by 2/19.  </w:t>
      </w:r>
      <w:r w:rsidR="00A72A4E">
        <w:rPr>
          <w:rFonts w:ascii="Arial" w:hAnsi="Arial" w:cs="Arial"/>
          <w:sz w:val="20"/>
          <w:szCs w:val="20"/>
        </w:rPr>
        <w:t>The 2014 Annual Report is due the end of February.</w:t>
      </w:r>
    </w:p>
    <w:p w:rsidR="00F543C6" w:rsidRPr="00F543C6" w:rsidRDefault="00A72A4E" w:rsidP="00A72A4E">
      <w:pPr>
        <w:pStyle w:val="ListParagraph"/>
        <w:numPr>
          <w:ilvl w:val="0"/>
          <w:numId w:val="37"/>
        </w:numPr>
        <w:rPr>
          <w:rFonts w:ascii="Arial" w:hAnsi="Arial" w:cs="Arial"/>
          <w:sz w:val="20"/>
          <w:szCs w:val="20"/>
        </w:rPr>
      </w:pPr>
      <w:r>
        <w:rPr>
          <w:rFonts w:ascii="Arial" w:hAnsi="Arial" w:cs="Arial"/>
          <w:sz w:val="20"/>
          <w:szCs w:val="20"/>
        </w:rPr>
        <w:t>Operational Review – the Operational Review with the NOWG is scheduled for February 24-25 in Sterling, VA.  The presentation material will be sent to the NOWG prior to the meeting.  NANPA will be have WebEx available and the NOWG will provide the bridge number.</w:t>
      </w:r>
      <w:r w:rsidRPr="00F543C6">
        <w:rPr>
          <w:rFonts w:ascii="Arial" w:hAnsi="Arial" w:cs="Arial"/>
          <w:sz w:val="20"/>
          <w:szCs w:val="20"/>
        </w:rPr>
        <w:t xml:space="preserve"> </w:t>
      </w:r>
    </w:p>
    <w:p w:rsidR="0066084E" w:rsidRDefault="0066084E" w:rsidP="002B7A9B">
      <w:pPr>
        <w:pStyle w:val="ListParagraph"/>
        <w:ind w:left="36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69142F" w:rsidP="007C1559">
      <w:pPr>
        <w:numPr>
          <w:ilvl w:val="0"/>
          <w:numId w:val="8"/>
        </w:numPr>
        <w:rPr>
          <w:rFonts w:ascii="Arial" w:hAnsi="Arial" w:cs="Arial"/>
          <w:sz w:val="20"/>
          <w:szCs w:val="20"/>
        </w:rPr>
      </w:pPr>
      <w:r>
        <w:rPr>
          <w:rFonts w:ascii="Arial" w:hAnsi="Arial" w:cs="Arial"/>
          <w:sz w:val="20"/>
          <w:szCs w:val="20"/>
        </w:rPr>
        <w:t>February 2</w:t>
      </w:r>
      <w:r w:rsidR="005F6EEE">
        <w:rPr>
          <w:rFonts w:ascii="Arial" w:hAnsi="Arial" w:cs="Arial"/>
          <w:sz w:val="20"/>
          <w:szCs w:val="20"/>
        </w:rPr>
        <w:t>6</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5"/>
      <w:footerReference w:type="default" r:id="rId16"/>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30" w:rsidRDefault="00927D30" w:rsidP="00CF3D52">
      <w:r>
        <w:separator/>
      </w:r>
    </w:p>
  </w:endnote>
  <w:endnote w:type="continuationSeparator" w:id="0">
    <w:p w:rsidR="00927D30" w:rsidRDefault="00927D30"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7074F0">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7074F0">
      <w:rPr>
        <w:b/>
        <w:noProof/>
      </w:rPr>
      <w:t>4</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30" w:rsidRDefault="00927D30" w:rsidP="00CF3D52">
      <w:r>
        <w:separator/>
      </w:r>
    </w:p>
  </w:footnote>
  <w:footnote w:type="continuationSeparator" w:id="0">
    <w:p w:rsidR="00927D30" w:rsidRDefault="00927D30"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931E71" w:rsidP="00CF3D52">
    <w:pPr>
      <w:jc w:val="center"/>
      <w:rPr>
        <w:rStyle w:val="Strong"/>
        <w:rFonts w:ascii="Arial" w:hAnsi="Arial" w:cs="Arial"/>
        <w:sz w:val="20"/>
        <w:szCs w:val="20"/>
      </w:rPr>
    </w:pPr>
    <w:r>
      <w:rPr>
        <w:rStyle w:val="Strong"/>
        <w:rFonts w:ascii="Arial" w:hAnsi="Arial" w:cs="Arial"/>
        <w:sz w:val="20"/>
        <w:szCs w:val="20"/>
      </w:rPr>
      <w:t>January 16,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3B2"/>
    <w:multiLevelType w:val="hybridMultilevel"/>
    <w:tmpl w:val="F32A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8CF75D5"/>
    <w:multiLevelType w:val="hybridMultilevel"/>
    <w:tmpl w:val="490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606D3"/>
    <w:multiLevelType w:val="multilevel"/>
    <w:tmpl w:val="00CE52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nsid w:val="20A87C4D"/>
    <w:multiLevelType w:val="hybridMultilevel"/>
    <w:tmpl w:val="E96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731C52"/>
    <w:multiLevelType w:val="hybridMultilevel"/>
    <w:tmpl w:val="49F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62669"/>
    <w:multiLevelType w:val="hybridMultilevel"/>
    <w:tmpl w:val="96DE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3F1155"/>
    <w:multiLevelType w:val="hybridMultilevel"/>
    <w:tmpl w:val="570C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12">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B40BBF"/>
    <w:multiLevelType w:val="hybridMultilevel"/>
    <w:tmpl w:val="AAD2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8211063"/>
    <w:multiLevelType w:val="hybridMultilevel"/>
    <w:tmpl w:val="B2AE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206DD2"/>
    <w:multiLevelType w:val="hybridMultilevel"/>
    <w:tmpl w:val="AD121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8617BA"/>
    <w:multiLevelType w:val="hybridMultilevel"/>
    <w:tmpl w:val="88268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D3424C"/>
    <w:multiLevelType w:val="hybridMultilevel"/>
    <w:tmpl w:val="3A56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1497254"/>
    <w:multiLevelType w:val="hybridMultilevel"/>
    <w:tmpl w:val="C5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382D15"/>
    <w:multiLevelType w:val="hybridMultilevel"/>
    <w:tmpl w:val="ED94F1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29">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D32ADE"/>
    <w:multiLevelType w:val="hybridMultilevel"/>
    <w:tmpl w:val="01A80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22"/>
  </w:num>
  <w:num w:numId="4">
    <w:abstractNumId w:val="18"/>
  </w:num>
  <w:num w:numId="5">
    <w:abstractNumId w:val="16"/>
  </w:num>
  <w:num w:numId="6">
    <w:abstractNumId w:val="6"/>
  </w:num>
  <w:num w:numId="7">
    <w:abstractNumId w:val="34"/>
  </w:num>
  <w:num w:numId="8">
    <w:abstractNumId w:val="30"/>
  </w:num>
  <w:num w:numId="9">
    <w:abstractNumId w:val="31"/>
  </w:num>
  <w:num w:numId="10">
    <w:abstractNumId w:val="24"/>
  </w:num>
  <w:num w:numId="11">
    <w:abstractNumId w:val="20"/>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2"/>
  </w:num>
  <w:num w:numId="15">
    <w:abstractNumId w:val="17"/>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21"/>
  </w:num>
  <w:num w:numId="22">
    <w:abstractNumId w:val="1"/>
  </w:num>
  <w:num w:numId="23">
    <w:abstractNumId w:val="23"/>
  </w:num>
  <w:num w:numId="24">
    <w:abstractNumId w:val="14"/>
  </w:num>
  <w:num w:numId="25">
    <w:abstractNumId w:val="12"/>
  </w:num>
  <w:num w:numId="26">
    <w:abstractNumId w:val="33"/>
  </w:num>
  <w:num w:numId="27">
    <w:abstractNumId w:val="5"/>
  </w:num>
  <w:num w:numId="28">
    <w:abstractNumId w:val="2"/>
  </w:num>
  <w:num w:numId="29">
    <w:abstractNumId w:val="4"/>
  </w:num>
  <w:num w:numId="30">
    <w:abstractNumId w:val="13"/>
  </w:num>
  <w:num w:numId="31">
    <w:abstractNumId w:val="15"/>
  </w:num>
  <w:num w:numId="32">
    <w:abstractNumId w:val="3"/>
  </w:num>
  <w:num w:numId="33">
    <w:abstractNumId w:val="26"/>
  </w:num>
  <w:num w:numId="34">
    <w:abstractNumId w:val="10"/>
  </w:num>
  <w:num w:numId="35">
    <w:abstractNumId w:val="8"/>
  </w:num>
  <w:num w:numId="36">
    <w:abstractNumId w:val="9"/>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3"/>
    <w:rsid w:val="00000837"/>
    <w:rsid w:val="00001132"/>
    <w:rsid w:val="00002D72"/>
    <w:rsid w:val="00003405"/>
    <w:rsid w:val="00003E79"/>
    <w:rsid w:val="0000561B"/>
    <w:rsid w:val="00011129"/>
    <w:rsid w:val="000119C8"/>
    <w:rsid w:val="00011AEE"/>
    <w:rsid w:val="00012495"/>
    <w:rsid w:val="000137F8"/>
    <w:rsid w:val="00017B8D"/>
    <w:rsid w:val="00022121"/>
    <w:rsid w:val="00024B5F"/>
    <w:rsid w:val="0002501A"/>
    <w:rsid w:val="00025210"/>
    <w:rsid w:val="000255E7"/>
    <w:rsid w:val="000264E5"/>
    <w:rsid w:val="000277E9"/>
    <w:rsid w:val="00027AD1"/>
    <w:rsid w:val="0003034F"/>
    <w:rsid w:val="0003166A"/>
    <w:rsid w:val="0003270C"/>
    <w:rsid w:val="00032CC7"/>
    <w:rsid w:val="00032E19"/>
    <w:rsid w:val="00032E9A"/>
    <w:rsid w:val="0003442C"/>
    <w:rsid w:val="00035E62"/>
    <w:rsid w:val="00036A03"/>
    <w:rsid w:val="00036B30"/>
    <w:rsid w:val="00037E68"/>
    <w:rsid w:val="000418A1"/>
    <w:rsid w:val="000426F4"/>
    <w:rsid w:val="00042717"/>
    <w:rsid w:val="00044BCE"/>
    <w:rsid w:val="00047BFB"/>
    <w:rsid w:val="0005076F"/>
    <w:rsid w:val="00051362"/>
    <w:rsid w:val="000514C6"/>
    <w:rsid w:val="00053880"/>
    <w:rsid w:val="00053EAE"/>
    <w:rsid w:val="00054047"/>
    <w:rsid w:val="000569B9"/>
    <w:rsid w:val="00056FD0"/>
    <w:rsid w:val="000609B1"/>
    <w:rsid w:val="000613D8"/>
    <w:rsid w:val="00065223"/>
    <w:rsid w:val="00067587"/>
    <w:rsid w:val="00067D16"/>
    <w:rsid w:val="0007146F"/>
    <w:rsid w:val="000715D4"/>
    <w:rsid w:val="00071EE2"/>
    <w:rsid w:val="000729F8"/>
    <w:rsid w:val="00073DA9"/>
    <w:rsid w:val="0007407B"/>
    <w:rsid w:val="00074E43"/>
    <w:rsid w:val="00075893"/>
    <w:rsid w:val="00075CAD"/>
    <w:rsid w:val="00076604"/>
    <w:rsid w:val="00076D53"/>
    <w:rsid w:val="00077533"/>
    <w:rsid w:val="00077B9D"/>
    <w:rsid w:val="00080451"/>
    <w:rsid w:val="00080E9C"/>
    <w:rsid w:val="00080F62"/>
    <w:rsid w:val="0008122F"/>
    <w:rsid w:val="000816AC"/>
    <w:rsid w:val="000828FC"/>
    <w:rsid w:val="00083385"/>
    <w:rsid w:val="00083B3B"/>
    <w:rsid w:val="00085551"/>
    <w:rsid w:val="000866D8"/>
    <w:rsid w:val="00087915"/>
    <w:rsid w:val="00087CA6"/>
    <w:rsid w:val="00090982"/>
    <w:rsid w:val="00096E7E"/>
    <w:rsid w:val="00097861"/>
    <w:rsid w:val="000A2200"/>
    <w:rsid w:val="000A3B8C"/>
    <w:rsid w:val="000A42E5"/>
    <w:rsid w:val="000A4C23"/>
    <w:rsid w:val="000A6251"/>
    <w:rsid w:val="000A756A"/>
    <w:rsid w:val="000A7DBC"/>
    <w:rsid w:val="000B3AEC"/>
    <w:rsid w:val="000B632C"/>
    <w:rsid w:val="000B7341"/>
    <w:rsid w:val="000C032A"/>
    <w:rsid w:val="000C07C0"/>
    <w:rsid w:val="000C2D24"/>
    <w:rsid w:val="000C3057"/>
    <w:rsid w:val="000C3D58"/>
    <w:rsid w:val="000C4126"/>
    <w:rsid w:val="000C59EB"/>
    <w:rsid w:val="000D0CB2"/>
    <w:rsid w:val="000D464F"/>
    <w:rsid w:val="000D4BDA"/>
    <w:rsid w:val="000D4E8E"/>
    <w:rsid w:val="000D5C11"/>
    <w:rsid w:val="000D5FEF"/>
    <w:rsid w:val="000E0388"/>
    <w:rsid w:val="000E352C"/>
    <w:rsid w:val="000E70E9"/>
    <w:rsid w:val="000F1807"/>
    <w:rsid w:val="000F3F1D"/>
    <w:rsid w:val="000F5DE6"/>
    <w:rsid w:val="000F699E"/>
    <w:rsid w:val="000F7020"/>
    <w:rsid w:val="001000DB"/>
    <w:rsid w:val="001013C4"/>
    <w:rsid w:val="0010182B"/>
    <w:rsid w:val="001044DA"/>
    <w:rsid w:val="00104B08"/>
    <w:rsid w:val="00107C87"/>
    <w:rsid w:val="001123E9"/>
    <w:rsid w:val="00113502"/>
    <w:rsid w:val="00113D0E"/>
    <w:rsid w:val="00117D36"/>
    <w:rsid w:val="00117F51"/>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0006"/>
    <w:rsid w:val="00153F9D"/>
    <w:rsid w:val="00154017"/>
    <w:rsid w:val="00155FCD"/>
    <w:rsid w:val="00161716"/>
    <w:rsid w:val="00161B02"/>
    <w:rsid w:val="00162A77"/>
    <w:rsid w:val="00164024"/>
    <w:rsid w:val="001661D1"/>
    <w:rsid w:val="001674E7"/>
    <w:rsid w:val="0017200E"/>
    <w:rsid w:val="00172ADB"/>
    <w:rsid w:val="001738E7"/>
    <w:rsid w:val="00173BB0"/>
    <w:rsid w:val="00174014"/>
    <w:rsid w:val="00176CEA"/>
    <w:rsid w:val="00180FEF"/>
    <w:rsid w:val="00183DB9"/>
    <w:rsid w:val="00183DD9"/>
    <w:rsid w:val="00186123"/>
    <w:rsid w:val="001871EC"/>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1B8B"/>
    <w:rsid w:val="001B2072"/>
    <w:rsid w:val="001B3278"/>
    <w:rsid w:val="001C2BCC"/>
    <w:rsid w:val="001C3935"/>
    <w:rsid w:val="001C405C"/>
    <w:rsid w:val="001C4232"/>
    <w:rsid w:val="001C5DDC"/>
    <w:rsid w:val="001C7A0B"/>
    <w:rsid w:val="001C7A18"/>
    <w:rsid w:val="001D0E61"/>
    <w:rsid w:val="001D26C6"/>
    <w:rsid w:val="001D27B2"/>
    <w:rsid w:val="001D2B8C"/>
    <w:rsid w:val="001D3BD5"/>
    <w:rsid w:val="001D5B41"/>
    <w:rsid w:val="001D6DA1"/>
    <w:rsid w:val="001D7206"/>
    <w:rsid w:val="001D72EE"/>
    <w:rsid w:val="001D7932"/>
    <w:rsid w:val="001E09B4"/>
    <w:rsid w:val="001E1420"/>
    <w:rsid w:val="001E1C80"/>
    <w:rsid w:val="001E525E"/>
    <w:rsid w:val="001E597C"/>
    <w:rsid w:val="001E73A8"/>
    <w:rsid w:val="001E7927"/>
    <w:rsid w:val="001F05F8"/>
    <w:rsid w:val="001F290B"/>
    <w:rsid w:val="001F2D47"/>
    <w:rsid w:val="001F3870"/>
    <w:rsid w:val="001F407C"/>
    <w:rsid w:val="001F40B3"/>
    <w:rsid w:val="002013B0"/>
    <w:rsid w:val="00203927"/>
    <w:rsid w:val="00205BC0"/>
    <w:rsid w:val="00211B1F"/>
    <w:rsid w:val="00211C24"/>
    <w:rsid w:val="00214287"/>
    <w:rsid w:val="00216270"/>
    <w:rsid w:val="00217B59"/>
    <w:rsid w:val="00222F95"/>
    <w:rsid w:val="00222FAB"/>
    <w:rsid w:val="002239F4"/>
    <w:rsid w:val="00227322"/>
    <w:rsid w:val="002325E8"/>
    <w:rsid w:val="002349AD"/>
    <w:rsid w:val="002360BF"/>
    <w:rsid w:val="00237A17"/>
    <w:rsid w:val="00240CB3"/>
    <w:rsid w:val="00241DE2"/>
    <w:rsid w:val="0024533C"/>
    <w:rsid w:val="00245DC0"/>
    <w:rsid w:val="00245F50"/>
    <w:rsid w:val="00251AB7"/>
    <w:rsid w:val="00252A86"/>
    <w:rsid w:val="00256C58"/>
    <w:rsid w:val="00256E5E"/>
    <w:rsid w:val="00257785"/>
    <w:rsid w:val="00257B21"/>
    <w:rsid w:val="00260065"/>
    <w:rsid w:val="00260275"/>
    <w:rsid w:val="00260483"/>
    <w:rsid w:val="00262755"/>
    <w:rsid w:val="002652B4"/>
    <w:rsid w:val="00265D5B"/>
    <w:rsid w:val="0026716E"/>
    <w:rsid w:val="00267383"/>
    <w:rsid w:val="002675EE"/>
    <w:rsid w:val="00272D23"/>
    <w:rsid w:val="0027536B"/>
    <w:rsid w:val="00275851"/>
    <w:rsid w:val="00277F77"/>
    <w:rsid w:val="00281D4B"/>
    <w:rsid w:val="00290E77"/>
    <w:rsid w:val="00296251"/>
    <w:rsid w:val="002963F4"/>
    <w:rsid w:val="002964C1"/>
    <w:rsid w:val="0029747C"/>
    <w:rsid w:val="002A34A6"/>
    <w:rsid w:val="002A4020"/>
    <w:rsid w:val="002A688B"/>
    <w:rsid w:val="002B1548"/>
    <w:rsid w:val="002B192D"/>
    <w:rsid w:val="002B24FD"/>
    <w:rsid w:val="002B3B11"/>
    <w:rsid w:val="002B4425"/>
    <w:rsid w:val="002B5E89"/>
    <w:rsid w:val="002B7A9B"/>
    <w:rsid w:val="002C154C"/>
    <w:rsid w:val="002C1BF0"/>
    <w:rsid w:val="002C262C"/>
    <w:rsid w:val="002C3242"/>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0F94"/>
    <w:rsid w:val="0030116A"/>
    <w:rsid w:val="0030147C"/>
    <w:rsid w:val="00302971"/>
    <w:rsid w:val="0030393E"/>
    <w:rsid w:val="00303FD1"/>
    <w:rsid w:val="00304043"/>
    <w:rsid w:val="0030441C"/>
    <w:rsid w:val="0030480B"/>
    <w:rsid w:val="00304BC2"/>
    <w:rsid w:val="00306474"/>
    <w:rsid w:val="00306B13"/>
    <w:rsid w:val="00306E94"/>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45E5"/>
    <w:rsid w:val="00327B0F"/>
    <w:rsid w:val="00330A2A"/>
    <w:rsid w:val="0033350B"/>
    <w:rsid w:val="003376DE"/>
    <w:rsid w:val="00337845"/>
    <w:rsid w:val="00341AF9"/>
    <w:rsid w:val="00343511"/>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47B2"/>
    <w:rsid w:val="00385988"/>
    <w:rsid w:val="0038670F"/>
    <w:rsid w:val="00390015"/>
    <w:rsid w:val="003907F2"/>
    <w:rsid w:val="003922F7"/>
    <w:rsid w:val="00392E6D"/>
    <w:rsid w:val="003936DF"/>
    <w:rsid w:val="00395613"/>
    <w:rsid w:val="00397729"/>
    <w:rsid w:val="003A3E46"/>
    <w:rsid w:val="003A4381"/>
    <w:rsid w:val="003A4E4D"/>
    <w:rsid w:val="003A60E2"/>
    <w:rsid w:val="003B0449"/>
    <w:rsid w:val="003B0957"/>
    <w:rsid w:val="003B2A2A"/>
    <w:rsid w:val="003B2A5E"/>
    <w:rsid w:val="003B52AF"/>
    <w:rsid w:val="003B58AF"/>
    <w:rsid w:val="003B58FB"/>
    <w:rsid w:val="003B5FE8"/>
    <w:rsid w:val="003C0456"/>
    <w:rsid w:val="003C13BD"/>
    <w:rsid w:val="003C1AD6"/>
    <w:rsid w:val="003C2A5C"/>
    <w:rsid w:val="003C4CCE"/>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6C33"/>
    <w:rsid w:val="004379F4"/>
    <w:rsid w:val="00440040"/>
    <w:rsid w:val="00441350"/>
    <w:rsid w:val="004416AA"/>
    <w:rsid w:val="00441B22"/>
    <w:rsid w:val="00443190"/>
    <w:rsid w:val="00443506"/>
    <w:rsid w:val="00444335"/>
    <w:rsid w:val="00447444"/>
    <w:rsid w:val="00447867"/>
    <w:rsid w:val="00450544"/>
    <w:rsid w:val="0045163A"/>
    <w:rsid w:val="00451B0C"/>
    <w:rsid w:val="004521AC"/>
    <w:rsid w:val="004536F0"/>
    <w:rsid w:val="004556A9"/>
    <w:rsid w:val="00460578"/>
    <w:rsid w:val="004642E2"/>
    <w:rsid w:val="00464921"/>
    <w:rsid w:val="00464CBC"/>
    <w:rsid w:val="004656D7"/>
    <w:rsid w:val="00465D65"/>
    <w:rsid w:val="0046721D"/>
    <w:rsid w:val="0047141E"/>
    <w:rsid w:val="004717AA"/>
    <w:rsid w:val="00471A4D"/>
    <w:rsid w:val="00471B0E"/>
    <w:rsid w:val="00475F79"/>
    <w:rsid w:val="00477F67"/>
    <w:rsid w:val="00481996"/>
    <w:rsid w:val="004844EA"/>
    <w:rsid w:val="0048675D"/>
    <w:rsid w:val="00487853"/>
    <w:rsid w:val="00491CC0"/>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273"/>
    <w:rsid w:val="004B64C2"/>
    <w:rsid w:val="004B6E48"/>
    <w:rsid w:val="004B7A50"/>
    <w:rsid w:val="004C0688"/>
    <w:rsid w:val="004C0CAC"/>
    <w:rsid w:val="004C15BD"/>
    <w:rsid w:val="004C6F0E"/>
    <w:rsid w:val="004C7FC1"/>
    <w:rsid w:val="004D04A8"/>
    <w:rsid w:val="004D693E"/>
    <w:rsid w:val="004E01D3"/>
    <w:rsid w:val="004E29DE"/>
    <w:rsid w:val="004E3DE2"/>
    <w:rsid w:val="004E4B43"/>
    <w:rsid w:val="004E52B7"/>
    <w:rsid w:val="004E6CF8"/>
    <w:rsid w:val="004F2796"/>
    <w:rsid w:val="004F2C69"/>
    <w:rsid w:val="004F3015"/>
    <w:rsid w:val="004F3063"/>
    <w:rsid w:val="004F32A0"/>
    <w:rsid w:val="004F40E7"/>
    <w:rsid w:val="004F451C"/>
    <w:rsid w:val="004F5681"/>
    <w:rsid w:val="0050269D"/>
    <w:rsid w:val="00506A6C"/>
    <w:rsid w:val="00511267"/>
    <w:rsid w:val="00511AC6"/>
    <w:rsid w:val="00513F04"/>
    <w:rsid w:val="00515F11"/>
    <w:rsid w:val="00517751"/>
    <w:rsid w:val="005201E2"/>
    <w:rsid w:val="00520958"/>
    <w:rsid w:val="00523102"/>
    <w:rsid w:val="00523C39"/>
    <w:rsid w:val="00525FEA"/>
    <w:rsid w:val="00527353"/>
    <w:rsid w:val="005307BD"/>
    <w:rsid w:val="0053182F"/>
    <w:rsid w:val="00533911"/>
    <w:rsid w:val="00537B8D"/>
    <w:rsid w:val="0054300F"/>
    <w:rsid w:val="005440E9"/>
    <w:rsid w:val="00544AE2"/>
    <w:rsid w:val="00544FDA"/>
    <w:rsid w:val="00545049"/>
    <w:rsid w:val="0055219C"/>
    <w:rsid w:val="00552AC4"/>
    <w:rsid w:val="0055460A"/>
    <w:rsid w:val="005573BA"/>
    <w:rsid w:val="005619C4"/>
    <w:rsid w:val="00564264"/>
    <w:rsid w:val="00564D97"/>
    <w:rsid w:val="00564FEF"/>
    <w:rsid w:val="005652B5"/>
    <w:rsid w:val="0056716A"/>
    <w:rsid w:val="005721AA"/>
    <w:rsid w:val="00572EF7"/>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67E6"/>
    <w:rsid w:val="005A6B50"/>
    <w:rsid w:val="005A6EEF"/>
    <w:rsid w:val="005B0CDE"/>
    <w:rsid w:val="005B2569"/>
    <w:rsid w:val="005C0211"/>
    <w:rsid w:val="005C1C9D"/>
    <w:rsid w:val="005C3032"/>
    <w:rsid w:val="005C3D21"/>
    <w:rsid w:val="005C52C8"/>
    <w:rsid w:val="005C574B"/>
    <w:rsid w:val="005C6485"/>
    <w:rsid w:val="005C6E14"/>
    <w:rsid w:val="005C75C6"/>
    <w:rsid w:val="005D0AB1"/>
    <w:rsid w:val="005D1737"/>
    <w:rsid w:val="005D2B1C"/>
    <w:rsid w:val="005D4949"/>
    <w:rsid w:val="005D546C"/>
    <w:rsid w:val="005E058D"/>
    <w:rsid w:val="005E2BCE"/>
    <w:rsid w:val="005E3267"/>
    <w:rsid w:val="005E4753"/>
    <w:rsid w:val="005E5152"/>
    <w:rsid w:val="005E5A4C"/>
    <w:rsid w:val="005F3A3B"/>
    <w:rsid w:val="005F3FA2"/>
    <w:rsid w:val="005F405F"/>
    <w:rsid w:val="005F45C5"/>
    <w:rsid w:val="005F5A79"/>
    <w:rsid w:val="005F5B49"/>
    <w:rsid w:val="005F5B89"/>
    <w:rsid w:val="005F6EEE"/>
    <w:rsid w:val="005F7E5F"/>
    <w:rsid w:val="00600729"/>
    <w:rsid w:val="00602C2C"/>
    <w:rsid w:val="006034A0"/>
    <w:rsid w:val="00604D91"/>
    <w:rsid w:val="00605BCD"/>
    <w:rsid w:val="006066DC"/>
    <w:rsid w:val="0060717A"/>
    <w:rsid w:val="00610154"/>
    <w:rsid w:val="00610B0E"/>
    <w:rsid w:val="00611AA3"/>
    <w:rsid w:val="0061654A"/>
    <w:rsid w:val="00616F46"/>
    <w:rsid w:val="006206BA"/>
    <w:rsid w:val="0062079C"/>
    <w:rsid w:val="00621901"/>
    <w:rsid w:val="006305EF"/>
    <w:rsid w:val="00630FE5"/>
    <w:rsid w:val="00631A20"/>
    <w:rsid w:val="006321E7"/>
    <w:rsid w:val="006353EF"/>
    <w:rsid w:val="00635C97"/>
    <w:rsid w:val="00636149"/>
    <w:rsid w:val="00640DBB"/>
    <w:rsid w:val="0064174B"/>
    <w:rsid w:val="00641C07"/>
    <w:rsid w:val="00642881"/>
    <w:rsid w:val="0064515E"/>
    <w:rsid w:val="00645530"/>
    <w:rsid w:val="00645897"/>
    <w:rsid w:val="00651339"/>
    <w:rsid w:val="00651F31"/>
    <w:rsid w:val="006528A5"/>
    <w:rsid w:val="006528E0"/>
    <w:rsid w:val="00656EC7"/>
    <w:rsid w:val="006574B8"/>
    <w:rsid w:val="0066084E"/>
    <w:rsid w:val="00664E36"/>
    <w:rsid w:val="00666463"/>
    <w:rsid w:val="00666547"/>
    <w:rsid w:val="006669C6"/>
    <w:rsid w:val="00671792"/>
    <w:rsid w:val="00671FA9"/>
    <w:rsid w:val="00672DC1"/>
    <w:rsid w:val="0067324C"/>
    <w:rsid w:val="0067335F"/>
    <w:rsid w:val="00680629"/>
    <w:rsid w:val="006814A3"/>
    <w:rsid w:val="0068276C"/>
    <w:rsid w:val="00684842"/>
    <w:rsid w:val="00690F79"/>
    <w:rsid w:val="0069142F"/>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7622"/>
    <w:rsid w:val="006B7DA9"/>
    <w:rsid w:val="006C039C"/>
    <w:rsid w:val="006C26EE"/>
    <w:rsid w:val="006C40F1"/>
    <w:rsid w:val="006C5FE2"/>
    <w:rsid w:val="006C64B4"/>
    <w:rsid w:val="006C72F1"/>
    <w:rsid w:val="006D073D"/>
    <w:rsid w:val="006D133C"/>
    <w:rsid w:val="006D1CFF"/>
    <w:rsid w:val="006D34E0"/>
    <w:rsid w:val="006D4D84"/>
    <w:rsid w:val="006D5645"/>
    <w:rsid w:val="006D5C22"/>
    <w:rsid w:val="006D77B8"/>
    <w:rsid w:val="006D7AD3"/>
    <w:rsid w:val="006E1AA9"/>
    <w:rsid w:val="006F1E47"/>
    <w:rsid w:val="006F2DC8"/>
    <w:rsid w:val="006F40C3"/>
    <w:rsid w:val="006F4937"/>
    <w:rsid w:val="006F62A4"/>
    <w:rsid w:val="006F66F9"/>
    <w:rsid w:val="006F6F23"/>
    <w:rsid w:val="00700B5D"/>
    <w:rsid w:val="00701468"/>
    <w:rsid w:val="00701A3A"/>
    <w:rsid w:val="00705857"/>
    <w:rsid w:val="007074F0"/>
    <w:rsid w:val="00715B09"/>
    <w:rsid w:val="00716099"/>
    <w:rsid w:val="00716567"/>
    <w:rsid w:val="00717E23"/>
    <w:rsid w:val="00720B50"/>
    <w:rsid w:val="00721C74"/>
    <w:rsid w:val="00724AB3"/>
    <w:rsid w:val="00724B1C"/>
    <w:rsid w:val="00725AB3"/>
    <w:rsid w:val="00727DD7"/>
    <w:rsid w:val="00733549"/>
    <w:rsid w:val="00733AF6"/>
    <w:rsid w:val="00736647"/>
    <w:rsid w:val="0074052D"/>
    <w:rsid w:val="00741CD2"/>
    <w:rsid w:val="00741EE7"/>
    <w:rsid w:val="0074200A"/>
    <w:rsid w:val="00742E05"/>
    <w:rsid w:val="007436AE"/>
    <w:rsid w:val="007457D1"/>
    <w:rsid w:val="00751BB7"/>
    <w:rsid w:val="00752160"/>
    <w:rsid w:val="007550A8"/>
    <w:rsid w:val="00757C38"/>
    <w:rsid w:val="00757F5D"/>
    <w:rsid w:val="00762D2B"/>
    <w:rsid w:val="007643C1"/>
    <w:rsid w:val="007645DA"/>
    <w:rsid w:val="00766C1C"/>
    <w:rsid w:val="00771AF1"/>
    <w:rsid w:val="00772430"/>
    <w:rsid w:val="00772E90"/>
    <w:rsid w:val="00772F49"/>
    <w:rsid w:val="007743C1"/>
    <w:rsid w:val="007777BE"/>
    <w:rsid w:val="0078089C"/>
    <w:rsid w:val="00780B68"/>
    <w:rsid w:val="0078162E"/>
    <w:rsid w:val="007827F2"/>
    <w:rsid w:val="00782DA5"/>
    <w:rsid w:val="007851B3"/>
    <w:rsid w:val="00786586"/>
    <w:rsid w:val="007903FB"/>
    <w:rsid w:val="00792655"/>
    <w:rsid w:val="007961D9"/>
    <w:rsid w:val="00796281"/>
    <w:rsid w:val="00796BE3"/>
    <w:rsid w:val="00797ED6"/>
    <w:rsid w:val="007A00C9"/>
    <w:rsid w:val="007A09DA"/>
    <w:rsid w:val="007A15EB"/>
    <w:rsid w:val="007A2343"/>
    <w:rsid w:val="007A3155"/>
    <w:rsid w:val="007A46FE"/>
    <w:rsid w:val="007A4C53"/>
    <w:rsid w:val="007A7767"/>
    <w:rsid w:val="007B006A"/>
    <w:rsid w:val="007B13E0"/>
    <w:rsid w:val="007B21DC"/>
    <w:rsid w:val="007B34A2"/>
    <w:rsid w:val="007B5D03"/>
    <w:rsid w:val="007B723E"/>
    <w:rsid w:val="007C009B"/>
    <w:rsid w:val="007C1559"/>
    <w:rsid w:val="007C34F2"/>
    <w:rsid w:val="007C395E"/>
    <w:rsid w:val="007C494D"/>
    <w:rsid w:val="007C6CBB"/>
    <w:rsid w:val="007D1428"/>
    <w:rsid w:val="007D1EA9"/>
    <w:rsid w:val="007D2D3E"/>
    <w:rsid w:val="007D313B"/>
    <w:rsid w:val="007D3931"/>
    <w:rsid w:val="007D3B84"/>
    <w:rsid w:val="007D44F2"/>
    <w:rsid w:val="007D46F5"/>
    <w:rsid w:val="007D4803"/>
    <w:rsid w:val="007E0D8E"/>
    <w:rsid w:val="007E15C2"/>
    <w:rsid w:val="007E42B2"/>
    <w:rsid w:val="007E4DB8"/>
    <w:rsid w:val="007E5893"/>
    <w:rsid w:val="007E68B2"/>
    <w:rsid w:val="007F00E5"/>
    <w:rsid w:val="007F1137"/>
    <w:rsid w:val="007F1DBE"/>
    <w:rsid w:val="007F1E8F"/>
    <w:rsid w:val="007F3142"/>
    <w:rsid w:val="007F329D"/>
    <w:rsid w:val="007F4B46"/>
    <w:rsid w:val="007F4B96"/>
    <w:rsid w:val="007F5F00"/>
    <w:rsid w:val="007F6585"/>
    <w:rsid w:val="007F7EDB"/>
    <w:rsid w:val="008012F1"/>
    <w:rsid w:val="00801A18"/>
    <w:rsid w:val="00803F08"/>
    <w:rsid w:val="00804243"/>
    <w:rsid w:val="00804B4C"/>
    <w:rsid w:val="00804F1C"/>
    <w:rsid w:val="00805517"/>
    <w:rsid w:val="008072F3"/>
    <w:rsid w:val="00810AB9"/>
    <w:rsid w:val="0081200F"/>
    <w:rsid w:val="00812847"/>
    <w:rsid w:val="00813D98"/>
    <w:rsid w:val="0081417F"/>
    <w:rsid w:val="0081469B"/>
    <w:rsid w:val="008158EA"/>
    <w:rsid w:val="008170B0"/>
    <w:rsid w:val="00817751"/>
    <w:rsid w:val="00820070"/>
    <w:rsid w:val="00820D36"/>
    <w:rsid w:val="00821AE3"/>
    <w:rsid w:val="00824CA2"/>
    <w:rsid w:val="008262D8"/>
    <w:rsid w:val="00830ACF"/>
    <w:rsid w:val="00830E72"/>
    <w:rsid w:val="00830F49"/>
    <w:rsid w:val="0083411B"/>
    <w:rsid w:val="00835040"/>
    <w:rsid w:val="008353FD"/>
    <w:rsid w:val="00836270"/>
    <w:rsid w:val="00836322"/>
    <w:rsid w:val="008418D0"/>
    <w:rsid w:val="0084242C"/>
    <w:rsid w:val="008526EC"/>
    <w:rsid w:val="0085347B"/>
    <w:rsid w:val="008535DC"/>
    <w:rsid w:val="00853709"/>
    <w:rsid w:val="00853B36"/>
    <w:rsid w:val="00854377"/>
    <w:rsid w:val="00861010"/>
    <w:rsid w:val="00861FF4"/>
    <w:rsid w:val="00864CFE"/>
    <w:rsid w:val="00867EB0"/>
    <w:rsid w:val="0087030D"/>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0E4E"/>
    <w:rsid w:val="0089396C"/>
    <w:rsid w:val="00894419"/>
    <w:rsid w:val="0089570F"/>
    <w:rsid w:val="00895E82"/>
    <w:rsid w:val="008973A9"/>
    <w:rsid w:val="00897414"/>
    <w:rsid w:val="008A0ADE"/>
    <w:rsid w:val="008A0D30"/>
    <w:rsid w:val="008A28AA"/>
    <w:rsid w:val="008A2C47"/>
    <w:rsid w:val="008A4466"/>
    <w:rsid w:val="008A56F6"/>
    <w:rsid w:val="008A58BE"/>
    <w:rsid w:val="008B0DFD"/>
    <w:rsid w:val="008B28DD"/>
    <w:rsid w:val="008B2ACA"/>
    <w:rsid w:val="008B4345"/>
    <w:rsid w:val="008B4DC1"/>
    <w:rsid w:val="008C194D"/>
    <w:rsid w:val="008C36FD"/>
    <w:rsid w:val="008C450A"/>
    <w:rsid w:val="008C4B6A"/>
    <w:rsid w:val="008C5A83"/>
    <w:rsid w:val="008C5F39"/>
    <w:rsid w:val="008C6CCD"/>
    <w:rsid w:val="008C7730"/>
    <w:rsid w:val="008D0F62"/>
    <w:rsid w:val="008D309C"/>
    <w:rsid w:val="008D3297"/>
    <w:rsid w:val="008D4976"/>
    <w:rsid w:val="008D4C42"/>
    <w:rsid w:val="008D6577"/>
    <w:rsid w:val="008E0D0B"/>
    <w:rsid w:val="008E131B"/>
    <w:rsid w:val="008E13A8"/>
    <w:rsid w:val="008E210F"/>
    <w:rsid w:val="008E35E2"/>
    <w:rsid w:val="008E4096"/>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5A58"/>
    <w:rsid w:val="0091650E"/>
    <w:rsid w:val="00916BCE"/>
    <w:rsid w:val="00917035"/>
    <w:rsid w:val="00921CE6"/>
    <w:rsid w:val="0092248B"/>
    <w:rsid w:val="00923DCE"/>
    <w:rsid w:val="00923FD5"/>
    <w:rsid w:val="00924B2E"/>
    <w:rsid w:val="00926527"/>
    <w:rsid w:val="00926A6E"/>
    <w:rsid w:val="00927D30"/>
    <w:rsid w:val="00931E71"/>
    <w:rsid w:val="00933DC1"/>
    <w:rsid w:val="00934388"/>
    <w:rsid w:val="009343B9"/>
    <w:rsid w:val="00934E8C"/>
    <w:rsid w:val="00934FB6"/>
    <w:rsid w:val="00935052"/>
    <w:rsid w:val="00935BCB"/>
    <w:rsid w:val="00936900"/>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4069"/>
    <w:rsid w:val="00955FDD"/>
    <w:rsid w:val="00956448"/>
    <w:rsid w:val="009570D0"/>
    <w:rsid w:val="0096342B"/>
    <w:rsid w:val="00963DFB"/>
    <w:rsid w:val="009654EE"/>
    <w:rsid w:val="00965D8E"/>
    <w:rsid w:val="009667CF"/>
    <w:rsid w:val="0096708B"/>
    <w:rsid w:val="009673DD"/>
    <w:rsid w:val="0096768F"/>
    <w:rsid w:val="009713E7"/>
    <w:rsid w:val="009728A3"/>
    <w:rsid w:val="009736AE"/>
    <w:rsid w:val="00974CB3"/>
    <w:rsid w:val="009750D1"/>
    <w:rsid w:val="00977222"/>
    <w:rsid w:val="00977AB4"/>
    <w:rsid w:val="00977B97"/>
    <w:rsid w:val="00980C91"/>
    <w:rsid w:val="009813F4"/>
    <w:rsid w:val="00982471"/>
    <w:rsid w:val="009847CE"/>
    <w:rsid w:val="00985C9A"/>
    <w:rsid w:val="0098650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25A"/>
    <w:rsid w:val="009B6844"/>
    <w:rsid w:val="009C1C77"/>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5F09"/>
    <w:rsid w:val="009D62F3"/>
    <w:rsid w:val="009D6AB2"/>
    <w:rsid w:val="009E594C"/>
    <w:rsid w:val="009E6BBC"/>
    <w:rsid w:val="009F02BF"/>
    <w:rsid w:val="009F0B77"/>
    <w:rsid w:val="009F23B2"/>
    <w:rsid w:val="009F2786"/>
    <w:rsid w:val="009F3C46"/>
    <w:rsid w:val="009F4DB3"/>
    <w:rsid w:val="009F5760"/>
    <w:rsid w:val="009F629D"/>
    <w:rsid w:val="009F6E01"/>
    <w:rsid w:val="009F7ADF"/>
    <w:rsid w:val="00A03785"/>
    <w:rsid w:val="00A05F2C"/>
    <w:rsid w:val="00A10282"/>
    <w:rsid w:val="00A10EA1"/>
    <w:rsid w:val="00A115FE"/>
    <w:rsid w:val="00A12618"/>
    <w:rsid w:val="00A12D41"/>
    <w:rsid w:val="00A14550"/>
    <w:rsid w:val="00A15E75"/>
    <w:rsid w:val="00A15F4D"/>
    <w:rsid w:val="00A22D0C"/>
    <w:rsid w:val="00A23AA1"/>
    <w:rsid w:val="00A30348"/>
    <w:rsid w:val="00A30694"/>
    <w:rsid w:val="00A31F20"/>
    <w:rsid w:val="00A34BD5"/>
    <w:rsid w:val="00A35274"/>
    <w:rsid w:val="00A35390"/>
    <w:rsid w:val="00A35A72"/>
    <w:rsid w:val="00A36981"/>
    <w:rsid w:val="00A373FB"/>
    <w:rsid w:val="00A40A7C"/>
    <w:rsid w:val="00A413E3"/>
    <w:rsid w:val="00A41A73"/>
    <w:rsid w:val="00A420AD"/>
    <w:rsid w:val="00A4219B"/>
    <w:rsid w:val="00A43989"/>
    <w:rsid w:val="00A44AEB"/>
    <w:rsid w:val="00A467EB"/>
    <w:rsid w:val="00A46A76"/>
    <w:rsid w:val="00A46BDC"/>
    <w:rsid w:val="00A516DC"/>
    <w:rsid w:val="00A5650B"/>
    <w:rsid w:val="00A61014"/>
    <w:rsid w:val="00A6115A"/>
    <w:rsid w:val="00A62476"/>
    <w:rsid w:val="00A64DC8"/>
    <w:rsid w:val="00A65ADA"/>
    <w:rsid w:val="00A66177"/>
    <w:rsid w:val="00A66FD6"/>
    <w:rsid w:val="00A672A3"/>
    <w:rsid w:val="00A70F53"/>
    <w:rsid w:val="00A71B7F"/>
    <w:rsid w:val="00A71CBC"/>
    <w:rsid w:val="00A72307"/>
    <w:rsid w:val="00A72A4E"/>
    <w:rsid w:val="00A72B2E"/>
    <w:rsid w:val="00A7522C"/>
    <w:rsid w:val="00A77D9C"/>
    <w:rsid w:val="00A80565"/>
    <w:rsid w:val="00A845D2"/>
    <w:rsid w:val="00A84869"/>
    <w:rsid w:val="00A85935"/>
    <w:rsid w:val="00A92B3D"/>
    <w:rsid w:val="00A92BCE"/>
    <w:rsid w:val="00A93B07"/>
    <w:rsid w:val="00A9466A"/>
    <w:rsid w:val="00A96B98"/>
    <w:rsid w:val="00AA0387"/>
    <w:rsid w:val="00AA0AFA"/>
    <w:rsid w:val="00AA10B4"/>
    <w:rsid w:val="00AA24DA"/>
    <w:rsid w:val="00AA3D9E"/>
    <w:rsid w:val="00AA4F79"/>
    <w:rsid w:val="00AA6EFC"/>
    <w:rsid w:val="00AB3E34"/>
    <w:rsid w:val="00AB52A2"/>
    <w:rsid w:val="00AB5A3B"/>
    <w:rsid w:val="00AC16E9"/>
    <w:rsid w:val="00AC1858"/>
    <w:rsid w:val="00AC4430"/>
    <w:rsid w:val="00AC4CFB"/>
    <w:rsid w:val="00AC51FA"/>
    <w:rsid w:val="00AC6160"/>
    <w:rsid w:val="00AC7949"/>
    <w:rsid w:val="00AD2291"/>
    <w:rsid w:val="00AD257C"/>
    <w:rsid w:val="00AD265F"/>
    <w:rsid w:val="00AD3441"/>
    <w:rsid w:val="00AD3C2E"/>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3CF3"/>
    <w:rsid w:val="00AF4B65"/>
    <w:rsid w:val="00AF4CAB"/>
    <w:rsid w:val="00AF4FFC"/>
    <w:rsid w:val="00B03280"/>
    <w:rsid w:val="00B04F2C"/>
    <w:rsid w:val="00B055BB"/>
    <w:rsid w:val="00B07203"/>
    <w:rsid w:val="00B07BE5"/>
    <w:rsid w:val="00B10304"/>
    <w:rsid w:val="00B13A6D"/>
    <w:rsid w:val="00B22A38"/>
    <w:rsid w:val="00B24513"/>
    <w:rsid w:val="00B251A1"/>
    <w:rsid w:val="00B25EA5"/>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FF2"/>
    <w:rsid w:val="00B57AF1"/>
    <w:rsid w:val="00B57B2A"/>
    <w:rsid w:val="00B60B1E"/>
    <w:rsid w:val="00B60CCC"/>
    <w:rsid w:val="00B643F4"/>
    <w:rsid w:val="00B6717D"/>
    <w:rsid w:val="00B67D93"/>
    <w:rsid w:val="00B71287"/>
    <w:rsid w:val="00B71C1A"/>
    <w:rsid w:val="00B726AA"/>
    <w:rsid w:val="00B74F5A"/>
    <w:rsid w:val="00B76068"/>
    <w:rsid w:val="00B76F70"/>
    <w:rsid w:val="00B81409"/>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30DE"/>
    <w:rsid w:val="00BA6C69"/>
    <w:rsid w:val="00BA7095"/>
    <w:rsid w:val="00BB0773"/>
    <w:rsid w:val="00BB08DD"/>
    <w:rsid w:val="00BB3441"/>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C5B"/>
    <w:rsid w:val="00BF0D01"/>
    <w:rsid w:val="00BF45C3"/>
    <w:rsid w:val="00BF5E47"/>
    <w:rsid w:val="00C01CA9"/>
    <w:rsid w:val="00C021C7"/>
    <w:rsid w:val="00C037BB"/>
    <w:rsid w:val="00C05158"/>
    <w:rsid w:val="00C0536C"/>
    <w:rsid w:val="00C05B28"/>
    <w:rsid w:val="00C0652A"/>
    <w:rsid w:val="00C10523"/>
    <w:rsid w:val="00C11189"/>
    <w:rsid w:val="00C118C8"/>
    <w:rsid w:val="00C1358B"/>
    <w:rsid w:val="00C15AB3"/>
    <w:rsid w:val="00C15FA8"/>
    <w:rsid w:val="00C16067"/>
    <w:rsid w:val="00C24FCF"/>
    <w:rsid w:val="00C3228D"/>
    <w:rsid w:val="00C329D8"/>
    <w:rsid w:val="00C3709C"/>
    <w:rsid w:val="00C45F1A"/>
    <w:rsid w:val="00C46CA7"/>
    <w:rsid w:val="00C474B5"/>
    <w:rsid w:val="00C47843"/>
    <w:rsid w:val="00C47AD8"/>
    <w:rsid w:val="00C50422"/>
    <w:rsid w:val="00C52E3F"/>
    <w:rsid w:val="00C53206"/>
    <w:rsid w:val="00C53817"/>
    <w:rsid w:val="00C53A7B"/>
    <w:rsid w:val="00C54B8B"/>
    <w:rsid w:val="00C573F9"/>
    <w:rsid w:val="00C57CF4"/>
    <w:rsid w:val="00C60805"/>
    <w:rsid w:val="00C64316"/>
    <w:rsid w:val="00C66319"/>
    <w:rsid w:val="00C67B29"/>
    <w:rsid w:val="00C70CA7"/>
    <w:rsid w:val="00C74E84"/>
    <w:rsid w:val="00C754EE"/>
    <w:rsid w:val="00C8077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A0100"/>
    <w:rsid w:val="00CA14A8"/>
    <w:rsid w:val="00CA2300"/>
    <w:rsid w:val="00CA28D6"/>
    <w:rsid w:val="00CA3BB0"/>
    <w:rsid w:val="00CA619B"/>
    <w:rsid w:val="00CA63DF"/>
    <w:rsid w:val="00CA6680"/>
    <w:rsid w:val="00CB3FCE"/>
    <w:rsid w:val="00CB52D1"/>
    <w:rsid w:val="00CB675F"/>
    <w:rsid w:val="00CC15DA"/>
    <w:rsid w:val="00CC6A17"/>
    <w:rsid w:val="00CD1CD1"/>
    <w:rsid w:val="00CD1E62"/>
    <w:rsid w:val="00CD3BAD"/>
    <w:rsid w:val="00CD65E8"/>
    <w:rsid w:val="00CD6BEB"/>
    <w:rsid w:val="00CD7500"/>
    <w:rsid w:val="00CE043B"/>
    <w:rsid w:val="00CE088D"/>
    <w:rsid w:val="00CE3DC7"/>
    <w:rsid w:val="00CE40D6"/>
    <w:rsid w:val="00CE4181"/>
    <w:rsid w:val="00CE4C86"/>
    <w:rsid w:val="00CE4E65"/>
    <w:rsid w:val="00CE55B6"/>
    <w:rsid w:val="00CE64EA"/>
    <w:rsid w:val="00CE66C6"/>
    <w:rsid w:val="00CE795A"/>
    <w:rsid w:val="00CF3D52"/>
    <w:rsid w:val="00CF48F4"/>
    <w:rsid w:val="00CF5471"/>
    <w:rsid w:val="00CF739A"/>
    <w:rsid w:val="00CF773C"/>
    <w:rsid w:val="00D005D2"/>
    <w:rsid w:val="00D01EB4"/>
    <w:rsid w:val="00D02D15"/>
    <w:rsid w:val="00D05846"/>
    <w:rsid w:val="00D05B38"/>
    <w:rsid w:val="00D1026D"/>
    <w:rsid w:val="00D10E79"/>
    <w:rsid w:val="00D1128A"/>
    <w:rsid w:val="00D11465"/>
    <w:rsid w:val="00D1215C"/>
    <w:rsid w:val="00D1290E"/>
    <w:rsid w:val="00D12C6E"/>
    <w:rsid w:val="00D12E56"/>
    <w:rsid w:val="00D12ED8"/>
    <w:rsid w:val="00D1374F"/>
    <w:rsid w:val="00D1445E"/>
    <w:rsid w:val="00D14694"/>
    <w:rsid w:val="00D16CF8"/>
    <w:rsid w:val="00D17638"/>
    <w:rsid w:val="00D21341"/>
    <w:rsid w:val="00D21ABA"/>
    <w:rsid w:val="00D22DCD"/>
    <w:rsid w:val="00D24D4B"/>
    <w:rsid w:val="00D25E22"/>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60F9"/>
    <w:rsid w:val="00D50BCB"/>
    <w:rsid w:val="00D51580"/>
    <w:rsid w:val="00D52F01"/>
    <w:rsid w:val="00D53167"/>
    <w:rsid w:val="00D53F46"/>
    <w:rsid w:val="00D54627"/>
    <w:rsid w:val="00D556B5"/>
    <w:rsid w:val="00D55A85"/>
    <w:rsid w:val="00D55C5B"/>
    <w:rsid w:val="00D56F57"/>
    <w:rsid w:val="00D603B7"/>
    <w:rsid w:val="00D637F7"/>
    <w:rsid w:val="00D64EB4"/>
    <w:rsid w:val="00D65E38"/>
    <w:rsid w:val="00D72527"/>
    <w:rsid w:val="00D740C0"/>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3873"/>
    <w:rsid w:val="00DA4E11"/>
    <w:rsid w:val="00DA4F0C"/>
    <w:rsid w:val="00DA57B5"/>
    <w:rsid w:val="00DA5FE8"/>
    <w:rsid w:val="00DA6AEC"/>
    <w:rsid w:val="00DB1E70"/>
    <w:rsid w:val="00DB31C3"/>
    <w:rsid w:val="00DB3E8A"/>
    <w:rsid w:val="00DB5BF6"/>
    <w:rsid w:val="00DB5D1C"/>
    <w:rsid w:val="00DB72D5"/>
    <w:rsid w:val="00DC410B"/>
    <w:rsid w:val="00DC583B"/>
    <w:rsid w:val="00DC66AA"/>
    <w:rsid w:val="00DC68F4"/>
    <w:rsid w:val="00DC6E05"/>
    <w:rsid w:val="00DC7B0F"/>
    <w:rsid w:val="00DD1769"/>
    <w:rsid w:val="00DD48B2"/>
    <w:rsid w:val="00DE2705"/>
    <w:rsid w:val="00DE3ADB"/>
    <w:rsid w:val="00DE4A0D"/>
    <w:rsid w:val="00DE57EE"/>
    <w:rsid w:val="00DE6B0C"/>
    <w:rsid w:val="00DE70B4"/>
    <w:rsid w:val="00DF0BDC"/>
    <w:rsid w:val="00DF16F0"/>
    <w:rsid w:val="00DF2657"/>
    <w:rsid w:val="00DF283A"/>
    <w:rsid w:val="00DF50E1"/>
    <w:rsid w:val="00DF6EE9"/>
    <w:rsid w:val="00DF7345"/>
    <w:rsid w:val="00DF7C4D"/>
    <w:rsid w:val="00E000B4"/>
    <w:rsid w:val="00E00484"/>
    <w:rsid w:val="00E00B75"/>
    <w:rsid w:val="00E01292"/>
    <w:rsid w:val="00E055F9"/>
    <w:rsid w:val="00E07673"/>
    <w:rsid w:val="00E07C27"/>
    <w:rsid w:val="00E12DFF"/>
    <w:rsid w:val="00E141A9"/>
    <w:rsid w:val="00E1645B"/>
    <w:rsid w:val="00E168D1"/>
    <w:rsid w:val="00E1776E"/>
    <w:rsid w:val="00E17901"/>
    <w:rsid w:val="00E20D22"/>
    <w:rsid w:val="00E23C48"/>
    <w:rsid w:val="00E24A94"/>
    <w:rsid w:val="00E26D6C"/>
    <w:rsid w:val="00E27B23"/>
    <w:rsid w:val="00E30203"/>
    <w:rsid w:val="00E30BEE"/>
    <w:rsid w:val="00E31F67"/>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660E"/>
    <w:rsid w:val="00E5710D"/>
    <w:rsid w:val="00E5720E"/>
    <w:rsid w:val="00E6044C"/>
    <w:rsid w:val="00E629EB"/>
    <w:rsid w:val="00E62B4B"/>
    <w:rsid w:val="00E6687E"/>
    <w:rsid w:val="00E67C16"/>
    <w:rsid w:val="00E70B02"/>
    <w:rsid w:val="00E720EE"/>
    <w:rsid w:val="00E7236E"/>
    <w:rsid w:val="00E72999"/>
    <w:rsid w:val="00E72C40"/>
    <w:rsid w:val="00E75115"/>
    <w:rsid w:val="00E75F47"/>
    <w:rsid w:val="00E764A2"/>
    <w:rsid w:val="00E767AE"/>
    <w:rsid w:val="00E778BB"/>
    <w:rsid w:val="00E77A17"/>
    <w:rsid w:val="00E77FA5"/>
    <w:rsid w:val="00E806AF"/>
    <w:rsid w:val="00E82378"/>
    <w:rsid w:val="00E85965"/>
    <w:rsid w:val="00E862C9"/>
    <w:rsid w:val="00E872C6"/>
    <w:rsid w:val="00E9080D"/>
    <w:rsid w:val="00E90DAE"/>
    <w:rsid w:val="00E90EAA"/>
    <w:rsid w:val="00E90EAF"/>
    <w:rsid w:val="00E925F9"/>
    <w:rsid w:val="00E94520"/>
    <w:rsid w:val="00E94C91"/>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24FF"/>
    <w:rsid w:val="00ED45D7"/>
    <w:rsid w:val="00ED5668"/>
    <w:rsid w:val="00ED79B0"/>
    <w:rsid w:val="00ED7E54"/>
    <w:rsid w:val="00EE0737"/>
    <w:rsid w:val="00EE25F8"/>
    <w:rsid w:val="00EE3CDC"/>
    <w:rsid w:val="00EE43B4"/>
    <w:rsid w:val="00EE4E93"/>
    <w:rsid w:val="00EE76B5"/>
    <w:rsid w:val="00EE7EE4"/>
    <w:rsid w:val="00EF3666"/>
    <w:rsid w:val="00EF63B7"/>
    <w:rsid w:val="00F02C6A"/>
    <w:rsid w:val="00F02E64"/>
    <w:rsid w:val="00F038B1"/>
    <w:rsid w:val="00F038EB"/>
    <w:rsid w:val="00F03D37"/>
    <w:rsid w:val="00F04420"/>
    <w:rsid w:val="00F04B2E"/>
    <w:rsid w:val="00F051CF"/>
    <w:rsid w:val="00F05427"/>
    <w:rsid w:val="00F05C9F"/>
    <w:rsid w:val="00F06868"/>
    <w:rsid w:val="00F11186"/>
    <w:rsid w:val="00F111D9"/>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D18"/>
    <w:rsid w:val="00F31E85"/>
    <w:rsid w:val="00F337A3"/>
    <w:rsid w:val="00F36A0F"/>
    <w:rsid w:val="00F436CB"/>
    <w:rsid w:val="00F46E1F"/>
    <w:rsid w:val="00F50138"/>
    <w:rsid w:val="00F5076E"/>
    <w:rsid w:val="00F51FBE"/>
    <w:rsid w:val="00F5202C"/>
    <w:rsid w:val="00F52D31"/>
    <w:rsid w:val="00F543C6"/>
    <w:rsid w:val="00F54BFC"/>
    <w:rsid w:val="00F55990"/>
    <w:rsid w:val="00F5720B"/>
    <w:rsid w:val="00F61427"/>
    <w:rsid w:val="00F617F4"/>
    <w:rsid w:val="00F62C1C"/>
    <w:rsid w:val="00F63101"/>
    <w:rsid w:val="00F6564F"/>
    <w:rsid w:val="00F66AA7"/>
    <w:rsid w:val="00F66F99"/>
    <w:rsid w:val="00F71B52"/>
    <w:rsid w:val="00F72760"/>
    <w:rsid w:val="00F74C8A"/>
    <w:rsid w:val="00F81DF8"/>
    <w:rsid w:val="00F82EA9"/>
    <w:rsid w:val="00F83192"/>
    <w:rsid w:val="00F831DB"/>
    <w:rsid w:val="00F83B26"/>
    <w:rsid w:val="00F860D6"/>
    <w:rsid w:val="00F86917"/>
    <w:rsid w:val="00F86E84"/>
    <w:rsid w:val="00F90CDB"/>
    <w:rsid w:val="00FA0241"/>
    <w:rsid w:val="00FA17CB"/>
    <w:rsid w:val="00FA19E3"/>
    <w:rsid w:val="00FA2BAA"/>
    <w:rsid w:val="00FA3405"/>
    <w:rsid w:val="00FA5C5F"/>
    <w:rsid w:val="00FA692E"/>
    <w:rsid w:val="00FB1AB8"/>
    <w:rsid w:val="00FB2B14"/>
    <w:rsid w:val="00FB31D3"/>
    <w:rsid w:val="00FB5DB6"/>
    <w:rsid w:val="00FC0C40"/>
    <w:rsid w:val="00FC0F63"/>
    <w:rsid w:val="00FD155B"/>
    <w:rsid w:val="00FD186A"/>
    <w:rsid w:val="00FD2730"/>
    <w:rsid w:val="00FD32F5"/>
    <w:rsid w:val="00FD36CB"/>
    <w:rsid w:val="00FD38A9"/>
    <w:rsid w:val="00FD4589"/>
    <w:rsid w:val="00FD4644"/>
    <w:rsid w:val="00FD60F4"/>
    <w:rsid w:val="00FD6ECC"/>
    <w:rsid w:val="00FE04EE"/>
    <w:rsid w:val="00FE3C9B"/>
    <w:rsid w:val="00FE471C"/>
    <w:rsid w:val="00FE5379"/>
    <w:rsid w:val="00FE6590"/>
    <w:rsid w:val="00FE65F3"/>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uiPriority w:val="99"/>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uiPriority w:val="99"/>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39878835">
      <w:bodyDiv w:val="1"/>
      <w:marLeft w:val="0"/>
      <w:marRight w:val="0"/>
      <w:marTop w:val="0"/>
      <w:marBottom w:val="0"/>
      <w:divBdr>
        <w:top w:val="none" w:sz="0" w:space="0" w:color="auto"/>
        <w:left w:val="none" w:sz="0" w:space="0" w:color="auto"/>
        <w:bottom w:val="none" w:sz="0" w:space="0" w:color="auto"/>
        <w:right w:val="none" w:sz="0" w:space="0" w:color="auto"/>
      </w:divBdr>
    </w:div>
    <w:div w:id="493879456">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45507324">
      <w:bodyDiv w:val="1"/>
      <w:marLeft w:val="0"/>
      <w:marRight w:val="0"/>
      <w:marTop w:val="0"/>
      <w:marBottom w:val="0"/>
      <w:divBdr>
        <w:top w:val="none" w:sz="0" w:space="0" w:color="auto"/>
        <w:left w:val="none" w:sz="0" w:space="0" w:color="auto"/>
        <w:bottom w:val="none" w:sz="0" w:space="0" w:color="auto"/>
        <w:right w:val="none" w:sz="0" w:space="0" w:color="auto"/>
      </w:divBdr>
      <w:divsChild>
        <w:div w:id="729959167">
          <w:marLeft w:val="0"/>
          <w:marRight w:val="0"/>
          <w:marTop w:val="0"/>
          <w:marBottom w:val="0"/>
          <w:divBdr>
            <w:top w:val="none" w:sz="0" w:space="0" w:color="auto"/>
            <w:left w:val="none" w:sz="0" w:space="0" w:color="auto"/>
            <w:bottom w:val="none" w:sz="0" w:space="0" w:color="auto"/>
            <w:right w:val="none" w:sz="0" w:space="0" w:color="auto"/>
          </w:divBdr>
          <w:divsChild>
            <w:div w:id="1411928434">
              <w:marLeft w:val="0"/>
              <w:marRight w:val="0"/>
              <w:marTop w:val="0"/>
              <w:marBottom w:val="0"/>
              <w:divBdr>
                <w:top w:val="none" w:sz="0" w:space="0" w:color="auto"/>
                <w:left w:val="none" w:sz="0" w:space="0" w:color="auto"/>
                <w:bottom w:val="none" w:sz="0" w:space="0" w:color="auto"/>
                <w:right w:val="none" w:sz="0" w:space="0" w:color="auto"/>
              </w:divBdr>
              <w:divsChild>
                <w:div w:id="938563068">
                  <w:marLeft w:val="0"/>
                  <w:marRight w:val="0"/>
                  <w:marTop w:val="0"/>
                  <w:marBottom w:val="0"/>
                  <w:divBdr>
                    <w:top w:val="none" w:sz="0" w:space="0" w:color="auto"/>
                    <w:left w:val="none" w:sz="0" w:space="0" w:color="auto"/>
                    <w:bottom w:val="none" w:sz="0" w:space="0" w:color="auto"/>
                    <w:right w:val="none" w:sz="0" w:space="0" w:color="auto"/>
                  </w:divBdr>
                  <w:divsChild>
                    <w:div w:id="661667799">
                      <w:marLeft w:val="0"/>
                      <w:marRight w:val="0"/>
                      <w:marTop w:val="0"/>
                      <w:marBottom w:val="0"/>
                      <w:divBdr>
                        <w:top w:val="none" w:sz="0" w:space="0" w:color="auto"/>
                        <w:left w:val="none" w:sz="0" w:space="0" w:color="auto"/>
                        <w:bottom w:val="none" w:sz="0" w:space="0" w:color="auto"/>
                        <w:right w:val="none" w:sz="0" w:space="0" w:color="auto"/>
                      </w:divBdr>
                      <w:divsChild>
                        <w:div w:id="1980842863">
                          <w:marLeft w:val="0"/>
                          <w:marRight w:val="0"/>
                          <w:marTop w:val="0"/>
                          <w:marBottom w:val="0"/>
                          <w:divBdr>
                            <w:top w:val="none" w:sz="0" w:space="0" w:color="auto"/>
                            <w:left w:val="none" w:sz="0" w:space="0" w:color="auto"/>
                            <w:bottom w:val="none" w:sz="0" w:space="0" w:color="auto"/>
                            <w:right w:val="none" w:sz="0" w:space="0" w:color="auto"/>
                          </w:divBdr>
                          <w:divsChild>
                            <w:div w:id="1260872360">
                              <w:marLeft w:val="0"/>
                              <w:marRight w:val="0"/>
                              <w:marTop w:val="0"/>
                              <w:marBottom w:val="0"/>
                              <w:divBdr>
                                <w:top w:val="none" w:sz="0" w:space="0" w:color="auto"/>
                                <w:left w:val="none" w:sz="0" w:space="0" w:color="auto"/>
                                <w:bottom w:val="none" w:sz="0" w:space="0" w:color="auto"/>
                                <w:right w:val="none" w:sz="0" w:space="0" w:color="auto"/>
                              </w:divBdr>
                              <w:divsChild>
                                <w:div w:id="674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6980">
      <w:bodyDiv w:val="1"/>
      <w:marLeft w:val="0"/>
      <w:marRight w:val="0"/>
      <w:marTop w:val="0"/>
      <w:marBottom w:val="0"/>
      <w:divBdr>
        <w:top w:val="none" w:sz="0" w:space="0" w:color="auto"/>
        <w:left w:val="none" w:sz="0" w:space="0" w:color="auto"/>
        <w:bottom w:val="none" w:sz="0" w:space="0" w:color="auto"/>
        <w:right w:val="none" w:sz="0" w:space="0" w:color="auto"/>
      </w:divBdr>
      <w:divsChild>
        <w:div w:id="1647658928">
          <w:marLeft w:val="0"/>
          <w:marRight w:val="0"/>
          <w:marTop w:val="0"/>
          <w:marBottom w:val="0"/>
          <w:divBdr>
            <w:top w:val="none" w:sz="0" w:space="0" w:color="auto"/>
            <w:left w:val="none" w:sz="0" w:space="0" w:color="auto"/>
            <w:bottom w:val="none" w:sz="0" w:space="0" w:color="auto"/>
            <w:right w:val="none" w:sz="0" w:space="0" w:color="auto"/>
          </w:divBdr>
          <w:divsChild>
            <w:div w:id="490754413">
              <w:marLeft w:val="0"/>
              <w:marRight w:val="0"/>
              <w:marTop w:val="0"/>
              <w:marBottom w:val="0"/>
              <w:divBdr>
                <w:top w:val="none" w:sz="0" w:space="0" w:color="auto"/>
                <w:left w:val="none" w:sz="0" w:space="0" w:color="auto"/>
                <w:bottom w:val="none" w:sz="0" w:space="0" w:color="auto"/>
                <w:right w:val="none" w:sz="0" w:space="0" w:color="auto"/>
              </w:divBdr>
              <w:divsChild>
                <w:div w:id="1219442125">
                  <w:marLeft w:val="0"/>
                  <w:marRight w:val="0"/>
                  <w:marTop w:val="0"/>
                  <w:marBottom w:val="0"/>
                  <w:divBdr>
                    <w:top w:val="none" w:sz="0" w:space="0" w:color="auto"/>
                    <w:left w:val="none" w:sz="0" w:space="0" w:color="auto"/>
                    <w:bottom w:val="none" w:sz="0" w:space="0" w:color="auto"/>
                    <w:right w:val="none" w:sz="0" w:space="0" w:color="auto"/>
                  </w:divBdr>
                  <w:divsChild>
                    <w:div w:id="330181206">
                      <w:marLeft w:val="0"/>
                      <w:marRight w:val="0"/>
                      <w:marTop w:val="0"/>
                      <w:marBottom w:val="0"/>
                      <w:divBdr>
                        <w:top w:val="none" w:sz="0" w:space="0" w:color="auto"/>
                        <w:left w:val="none" w:sz="0" w:space="0" w:color="auto"/>
                        <w:bottom w:val="none" w:sz="0" w:space="0" w:color="auto"/>
                        <w:right w:val="none" w:sz="0" w:space="0" w:color="auto"/>
                      </w:divBdr>
                      <w:divsChild>
                        <w:div w:id="868762145">
                          <w:marLeft w:val="0"/>
                          <w:marRight w:val="0"/>
                          <w:marTop w:val="0"/>
                          <w:marBottom w:val="0"/>
                          <w:divBdr>
                            <w:top w:val="none" w:sz="0" w:space="0" w:color="auto"/>
                            <w:left w:val="none" w:sz="0" w:space="0" w:color="auto"/>
                            <w:bottom w:val="none" w:sz="0" w:space="0" w:color="auto"/>
                            <w:right w:val="none" w:sz="0" w:space="0" w:color="auto"/>
                          </w:divBdr>
                          <w:divsChild>
                            <w:div w:id="1629047094">
                              <w:marLeft w:val="0"/>
                              <w:marRight w:val="0"/>
                              <w:marTop w:val="0"/>
                              <w:marBottom w:val="0"/>
                              <w:divBdr>
                                <w:top w:val="none" w:sz="0" w:space="0" w:color="auto"/>
                                <w:left w:val="none" w:sz="0" w:space="0" w:color="auto"/>
                                <w:bottom w:val="none" w:sz="0" w:space="0" w:color="auto"/>
                                <w:right w:val="none" w:sz="0" w:space="0" w:color="auto"/>
                              </w:divBdr>
                              <w:divsChild>
                                <w:div w:id="423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488013483">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834449347">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B252-53BC-4D0C-ABC3-E336B3C3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7355</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2013-12-16T21:39:00Z</cp:lastPrinted>
  <dcterms:created xsi:type="dcterms:W3CDTF">2015-02-03T21:39:00Z</dcterms:created>
  <dcterms:modified xsi:type="dcterms:W3CDTF">2015-02-03T21:39:00Z</dcterms:modified>
</cp:coreProperties>
</file>