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B56CB2">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B56CB2">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Pr="00C118C8" w:rsidRDefault="004064A2" w:rsidP="000F7020">
            <w:pPr>
              <w:rPr>
                <w:rStyle w:val="Strong"/>
                <w:rFonts w:ascii="Arial" w:hAnsi="Arial" w:cs="Arial"/>
                <w:b w:val="0"/>
                <w:bCs w:val="0"/>
                <w:sz w:val="20"/>
                <w:szCs w:val="20"/>
              </w:rPr>
            </w:pPr>
            <w:r w:rsidRPr="00C118C8">
              <w:rPr>
                <w:rStyle w:val="Strong"/>
                <w:rFonts w:ascii="Arial" w:hAnsi="Arial" w:cs="Arial"/>
                <w:b w:val="0"/>
                <w:bCs w:val="0"/>
                <w:sz w:val="20"/>
                <w:szCs w:val="20"/>
              </w:rPr>
              <w:t xml:space="preserve">CenturyLink </w:t>
            </w:r>
            <w:r w:rsidR="00D11465" w:rsidRPr="00C118C8">
              <w:rPr>
                <w:rStyle w:val="Strong"/>
                <w:rFonts w:ascii="Arial" w:hAnsi="Arial" w:cs="Arial"/>
                <w:b w:val="0"/>
                <w:bCs w:val="0"/>
                <w:sz w:val="20"/>
                <w:szCs w:val="20"/>
              </w:rPr>
              <w:t>–</w:t>
            </w:r>
            <w:r w:rsidRPr="00C118C8">
              <w:rPr>
                <w:rStyle w:val="Strong"/>
                <w:rFonts w:ascii="Arial" w:hAnsi="Arial" w:cs="Arial"/>
                <w:b w:val="0"/>
                <w:bCs w:val="0"/>
                <w:sz w:val="20"/>
                <w:szCs w:val="20"/>
              </w:rPr>
              <w:t xml:space="preserve"> </w:t>
            </w:r>
            <w:r w:rsidR="0055219C" w:rsidRPr="00C118C8">
              <w:rPr>
                <w:rStyle w:val="Strong"/>
                <w:rFonts w:ascii="Arial" w:hAnsi="Arial" w:cs="Arial"/>
                <w:b w:val="0"/>
                <w:bCs w:val="0"/>
                <w:sz w:val="20"/>
                <w:szCs w:val="20"/>
              </w:rPr>
              <w:t>Jan Doell</w:t>
            </w:r>
          </w:p>
          <w:p w:rsidR="003C7175" w:rsidRPr="00C118C8" w:rsidRDefault="004064A2" w:rsidP="000F7020">
            <w:pPr>
              <w:rPr>
                <w:rStyle w:val="Strong"/>
                <w:rFonts w:ascii="Arial" w:hAnsi="Arial" w:cs="Arial"/>
                <w:b w:val="0"/>
                <w:bCs w:val="0"/>
                <w:sz w:val="20"/>
                <w:szCs w:val="20"/>
              </w:rPr>
            </w:pPr>
            <w:r w:rsidRPr="00C118C8">
              <w:rPr>
                <w:rStyle w:val="Strong"/>
                <w:rFonts w:ascii="Arial" w:hAnsi="Arial" w:cs="Arial"/>
                <w:b w:val="0"/>
                <w:bCs w:val="0"/>
                <w:sz w:val="20"/>
                <w:szCs w:val="20"/>
              </w:rPr>
              <w:t>Sprint - Karen Riepenkroger</w:t>
            </w:r>
          </w:p>
          <w:p w:rsidR="00AA24DA" w:rsidRPr="00C118C8" w:rsidRDefault="00AA24DA" w:rsidP="000F7020">
            <w:pPr>
              <w:rPr>
                <w:rStyle w:val="Strong"/>
                <w:rFonts w:ascii="Arial" w:hAnsi="Arial" w:cs="Arial"/>
                <w:b w:val="0"/>
                <w:bCs w:val="0"/>
                <w:sz w:val="20"/>
                <w:szCs w:val="20"/>
              </w:rPr>
            </w:pPr>
            <w:r w:rsidRPr="00C118C8">
              <w:rPr>
                <w:rStyle w:val="Strong"/>
                <w:rFonts w:ascii="Arial" w:hAnsi="Arial" w:cs="Arial"/>
                <w:b w:val="0"/>
                <w:bCs w:val="0"/>
                <w:sz w:val="20"/>
                <w:szCs w:val="20"/>
              </w:rPr>
              <w:t>T-Mobile – Cathie Capita</w:t>
            </w:r>
          </w:p>
          <w:p w:rsidR="008E7511" w:rsidRPr="00C118C8" w:rsidRDefault="004064A2" w:rsidP="00D11465">
            <w:pPr>
              <w:rPr>
                <w:rStyle w:val="Strong"/>
                <w:rFonts w:ascii="Arial" w:hAnsi="Arial" w:cs="Arial"/>
                <w:b w:val="0"/>
                <w:bCs w:val="0"/>
                <w:sz w:val="20"/>
                <w:szCs w:val="20"/>
              </w:rPr>
            </w:pPr>
            <w:r w:rsidRPr="00C118C8">
              <w:rPr>
                <w:rStyle w:val="Strong"/>
                <w:rFonts w:ascii="Arial" w:hAnsi="Arial" w:cs="Arial"/>
                <w:b w:val="0"/>
                <w:bCs w:val="0"/>
                <w:sz w:val="20"/>
                <w:szCs w:val="20"/>
              </w:rPr>
              <w:t>Verizon Wireless - Dana Crandall</w:t>
            </w:r>
          </w:p>
          <w:p w:rsidR="00D11465" w:rsidRPr="005721AA" w:rsidRDefault="00D11465" w:rsidP="00D11465">
            <w:pPr>
              <w:rPr>
                <w:rStyle w:val="Strong"/>
                <w:rFonts w:ascii="Arial" w:hAnsi="Arial" w:cs="Arial"/>
                <w:b w:val="0"/>
                <w:bCs w:val="0"/>
                <w:sz w:val="20"/>
                <w:szCs w:val="20"/>
              </w:rPr>
            </w:pPr>
            <w:r w:rsidRPr="00C118C8">
              <w:rPr>
                <w:rStyle w:val="Strong"/>
                <w:rFonts w:ascii="Arial" w:hAnsi="Arial" w:cs="Arial"/>
                <w:b w:val="0"/>
                <w:bCs w:val="0"/>
                <w:sz w:val="20"/>
                <w:szCs w:val="20"/>
              </w:rPr>
              <w:t>XO Communications – Ruben Galvin</w:t>
            </w:r>
          </w:p>
          <w:p w:rsidR="00D11465" w:rsidRPr="005721AA" w:rsidRDefault="00D11465" w:rsidP="00D11465">
            <w:pPr>
              <w:rPr>
                <w:rStyle w:val="Strong"/>
                <w:rFonts w:ascii="Arial" w:hAnsi="Arial" w:cs="Arial"/>
                <w:b w:val="0"/>
                <w:bCs w:val="0"/>
                <w:sz w:val="20"/>
                <w:szCs w:val="20"/>
                <w:lang w:val="sv-SE"/>
              </w:rPr>
            </w:pPr>
          </w:p>
        </w:tc>
        <w:tc>
          <w:tcPr>
            <w:tcW w:w="4788" w:type="dxa"/>
          </w:tcPr>
          <w:p w:rsidR="004064A2" w:rsidRPr="00C118C8" w:rsidRDefault="00D42EFD" w:rsidP="00C05B28">
            <w:pPr>
              <w:rPr>
                <w:rFonts w:ascii="Arial" w:hAnsi="Arial" w:cs="Arial"/>
                <w:sz w:val="20"/>
                <w:szCs w:val="20"/>
              </w:rPr>
            </w:pPr>
            <w:r w:rsidRPr="00C118C8">
              <w:rPr>
                <w:rFonts w:ascii="Arial" w:hAnsi="Arial" w:cs="Arial"/>
                <w:sz w:val="20"/>
                <w:szCs w:val="20"/>
              </w:rPr>
              <w:t>Al Cipparone</w:t>
            </w:r>
          </w:p>
          <w:p w:rsidR="004064A2" w:rsidRPr="00C118C8" w:rsidRDefault="004064A2" w:rsidP="00C05B28">
            <w:pPr>
              <w:rPr>
                <w:rFonts w:ascii="Arial" w:hAnsi="Arial" w:cs="Arial"/>
                <w:sz w:val="20"/>
                <w:szCs w:val="20"/>
              </w:rPr>
            </w:pPr>
            <w:r w:rsidRPr="00C118C8">
              <w:rPr>
                <w:rFonts w:ascii="Arial" w:hAnsi="Arial" w:cs="Arial"/>
                <w:sz w:val="20"/>
                <w:szCs w:val="20"/>
              </w:rPr>
              <w:t>Joe Cocke</w:t>
            </w:r>
          </w:p>
          <w:p w:rsidR="00A5650B" w:rsidRPr="00C118C8" w:rsidRDefault="00A5650B" w:rsidP="00C05B28">
            <w:pPr>
              <w:rPr>
                <w:rFonts w:ascii="Arial" w:hAnsi="Arial" w:cs="Arial"/>
                <w:sz w:val="20"/>
                <w:szCs w:val="20"/>
              </w:rPr>
            </w:pPr>
            <w:r w:rsidRPr="00C118C8">
              <w:rPr>
                <w:rFonts w:ascii="Arial" w:hAnsi="Arial" w:cs="Arial"/>
                <w:sz w:val="20"/>
                <w:szCs w:val="20"/>
              </w:rPr>
              <w:t>Nancy Fears</w:t>
            </w:r>
          </w:p>
          <w:p w:rsidR="00104B08" w:rsidRPr="00C118C8" w:rsidRDefault="008805CC" w:rsidP="00C05B28">
            <w:pPr>
              <w:rPr>
                <w:rFonts w:ascii="Arial" w:hAnsi="Arial" w:cs="Arial"/>
                <w:sz w:val="20"/>
                <w:szCs w:val="20"/>
              </w:rPr>
            </w:pPr>
            <w:r w:rsidRPr="00C118C8">
              <w:rPr>
                <w:rFonts w:ascii="Arial" w:hAnsi="Arial" w:cs="Arial"/>
                <w:sz w:val="20"/>
                <w:szCs w:val="20"/>
              </w:rPr>
              <w:t>John Manning</w:t>
            </w:r>
          </w:p>
          <w:p w:rsidR="00D11465" w:rsidRPr="00C118C8" w:rsidRDefault="00BA30DE" w:rsidP="00C05B28">
            <w:pPr>
              <w:rPr>
                <w:rFonts w:ascii="Arial" w:hAnsi="Arial" w:cs="Arial"/>
                <w:sz w:val="20"/>
                <w:szCs w:val="20"/>
              </w:rPr>
            </w:pPr>
            <w:r w:rsidRPr="00C118C8">
              <w:rPr>
                <w:rFonts w:ascii="Arial" w:hAnsi="Arial" w:cs="Arial"/>
                <w:sz w:val="20"/>
                <w:szCs w:val="20"/>
              </w:rPr>
              <w:t>Beth Sprague</w:t>
            </w:r>
          </w:p>
          <w:p w:rsidR="00C05B28" w:rsidRPr="005721AA" w:rsidRDefault="00D11465" w:rsidP="00C05B28">
            <w:pPr>
              <w:rPr>
                <w:rStyle w:val="Strong"/>
                <w:rFonts w:ascii="Arial" w:hAnsi="Arial" w:cs="Arial"/>
                <w:color w:val="A6A6A6"/>
                <w:sz w:val="20"/>
                <w:szCs w:val="20"/>
                <w:u w:val="single"/>
              </w:rPr>
            </w:pPr>
            <w:r w:rsidRPr="00C118C8">
              <w:rPr>
                <w:rFonts w:ascii="Arial" w:hAnsi="Arial" w:cs="Arial"/>
                <w:sz w:val="20"/>
                <w:szCs w:val="20"/>
              </w:rPr>
              <w:t>Wayne Milby</w:t>
            </w:r>
            <w:r w:rsidR="008805CC" w:rsidRPr="005721AA">
              <w:rPr>
                <w:rFonts w:ascii="Arial" w:hAnsi="Arial" w:cs="Arial"/>
                <w:sz w:val="20"/>
                <w:szCs w:val="20"/>
              </w:rPr>
              <w:br/>
            </w:r>
            <w:r w:rsidR="008805CC" w:rsidRPr="005721AA">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217B59" w:rsidRDefault="0055219C"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On 6/14 the Relief Planning Meeting Aid Pros and Cons was updated by adding three new pros for overlays developed by the industry at the recent IPD meeting.</w:t>
      </w:r>
    </w:p>
    <w:p w:rsidR="0055219C" w:rsidRDefault="005440E9"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Continued process of making the Utilization Missing Report (UMR) available five business days after the start of the NRUF submission cycle for both geographic and non-geographic (5XX NPA) resources.  NNS notifications on the availability of these reports were distributed in June and July.</w:t>
      </w:r>
    </w:p>
    <w:p w:rsidR="005440E9" w:rsidRDefault="005440E9"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On 7/14 a NAS trouble ticket analysis was provided to the NOWG.</w:t>
      </w:r>
    </w:p>
    <w:p w:rsidR="005440E9" w:rsidRDefault="005440E9"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A brief overview of the new screens, reports and entry methods for the new BIRRDS.  This was part of the ongoing Code Administrator training.</w:t>
      </w:r>
    </w:p>
    <w:p w:rsidR="00D92240" w:rsidRPr="0055219C" w:rsidRDefault="00D92240"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On 6/14 the revised NPA survey that is used for other NPA relief planning activities was distributed to the conference call participants in the IN 317 draft petition review.</w:t>
      </w:r>
    </w:p>
    <w:p w:rsidR="00B904C2" w:rsidRPr="0049547E" w:rsidRDefault="00B904C2" w:rsidP="00B904C2">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AB3E34" w:rsidRPr="00D460F9" w:rsidRDefault="00D460F9" w:rsidP="00D65E38">
      <w:pPr>
        <w:pStyle w:val="ListParagraph"/>
        <w:numPr>
          <w:ilvl w:val="0"/>
          <w:numId w:val="17"/>
        </w:numPr>
        <w:rPr>
          <w:rFonts w:ascii="Arial" w:hAnsi="Arial" w:cs="Arial"/>
          <w:b/>
          <w:sz w:val="20"/>
          <w:szCs w:val="20"/>
        </w:rPr>
      </w:pPr>
      <w:r>
        <w:rPr>
          <w:rFonts w:ascii="Arial" w:hAnsi="Arial" w:cs="Arial"/>
          <w:sz w:val="20"/>
          <w:szCs w:val="20"/>
        </w:rPr>
        <w:t>NNS notification was distributed announcing the NE 402 NPA had 10 remaining codes and per the NE PSC direction, codes from the 531 NPA were available for assignment.</w:t>
      </w:r>
    </w:p>
    <w:p w:rsidR="00D460F9" w:rsidRPr="00D460F9" w:rsidRDefault="00EA4141" w:rsidP="00D65E38">
      <w:pPr>
        <w:pStyle w:val="ListParagraph"/>
        <w:numPr>
          <w:ilvl w:val="0"/>
          <w:numId w:val="17"/>
        </w:numPr>
        <w:rPr>
          <w:rFonts w:ascii="Arial" w:hAnsi="Arial" w:cs="Arial"/>
          <w:b/>
          <w:sz w:val="20"/>
          <w:szCs w:val="20"/>
        </w:rPr>
      </w:pPr>
      <w:r>
        <w:rPr>
          <w:rFonts w:ascii="Arial" w:hAnsi="Arial" w:cs="Arial"/>
          <w:sz w:val="20"/>
          <w:szCs w:val="20"/>
        </w:rPr>
        <w:t>C</w:t>
      </w:r>
      <w:r w:rsidR="00D460F9">
        <w:rPr>
          <w:rFonts w:ascii="Arial" w:hAnsi="Arial" w:cs="Arial"/>
          <w:sz w:val="20"/>
          <w:szCs w:val="20"/>
        </w:rPr>
        <w:t>oordinated the return of a temporary 800-855 number assignment made in June 2013.</w:t>
      </w:r>
    </w:p>
    <w:p w:rsidR="00D460F9" w:rsidRPr="00D460F9" w:rsidRDefault="00D460F9" w:rsidP="00D65E38">
      <w:pPr>
        <w:pStyle w:val="ListParagraph"/>
        <w:numPr>
          <w:ilvl w:val="0"/>
          <w:numId w:val="17"/>
        </w:numPr>
        <w:rPr>
          <w:rFonts w:ascii="Arial" w:hAnsi="Arial" w:cs="Arial"/>
          <w:b/>
          <w:sz w:val="20"/>
          <w:szCs w:val="20"/>
        </w:rPr>
      </w:pPr>
      <w:r>
        <w:rPr>
          <w:rFonts w:ascii="Arial" w:hAnsi="Arial" w:cs="Arial"/>
          <w:sz w:val="20"/>
          <w:szCs w:val="20"/>
        </w:rPr>
        <w:t>The NPA map on the NANPA web site has been updated with the Nebraska 531 NPA.</w:t>
      </w:r>
    </w:p>
    <w:p w:rsidR="00C754EE" w:rsidRPr="00BC616E" w:rsidRDefault="00D460F9" w:rsidP="00B40844">
      <w:pPr>
        <w:pStyle w:val="ListParagraph"/>
        <w:numPr>
          <w:ilvl w:val="0"/>
          <w:numId w:val="17"/>
        </w:numPr>
        <w:rPr>
          <w:rFonts w:ascii="Arial" w:hAnsi="Arial" w:cs="Arial"/>
          <w:b/>
          <w:sz w:val="20"/>
          <w:szCs w:val="20"/>
        </w:rPr>
      </w:pPr>
      <w:r w:rsidRPr="00D460F9">
        <w:rPr>
          <w:rFonts w:ascii="Arial" w:hAnsi="Arial" w:cs="Arial"/>
          <w:sz w:val="20"/>
          <w:szCs w:val="20"/>
        </w:rPr>
        <w:t>NANPA and PA met with the FCC on 7/</w:t>
      </w:r>
      <w:r w:rsidR="00913296">
        <w:rPr>
          <w:rFonts w:ascii="Arial" w:hAnsi="Arial" w:cs="Arial"/>
          <w:sz w:val="20"/>
          <w:szCs w:val="20"/>
        </w:rPr>
        <w:t>7/</w:t>
      </w:r>
      <w:r w:rsidRPr="00D460F9">
        <w:rPr>
          <w:rFonts w:ascii="Arial" w:hAnsi="Arial" w:cs="Arial"/>
          <w:sz w:val="20"/>
          <w:szCs w:val="20"/>
        </w:rPr>
        <w:t>14 to review current guidelines for processing CO code requests.</w:t>
      </w:r>
    </w:p>
    <w:p w:rsidR="00BC616E" w:rsidRPr="00D460F9" w:rsidRDefault="00BC616E" w:rsidP="00B40844">
      <w:pPr>
        <w:pStyle w:val="ListParagraph"/>
        <w:numPr>
          <w:ilvl w:val="0"/>
          <w:numId w:val="17"/>
        </w:numPr>
        <w:rPr>
          <w:rFonts w:ascii="Arial" w:hAnsi="Arial" w:cs="Arial"/>
          <w:b/>
          <w:sz w:val="20"/>
          <w:szCs w:val="20"/>
        </w:rPr>
      </w:pPr>
      <w:r>
        <w:rPr>
          <w:rFonts w:ascii="Arial" w:hAnsi="Arial" w:cs="Arial"/>
          <w:sz w:val="20"/>
          <w:szCs w:val="20"/>
        </w:rPr>
        <w:t xml:space="preserve">The State Reclamation Contact List and Safety Valve Quick Sheet </w:t>
      </w:r>
      <w:r w:rsidR="00913296">
        <w:rPr>
          <w:rFonts w:ascii="Arial" w:hAnsi="Arial" w:cs="Arial"/>
          <w:sz w:val="20"/>
          <w:szCs w:val="20"/>
        </w:rPr>
        <w:t>were</w:t>
      </w:r>
      <w:r>
        <w:rPr>
          <w:rFonts w:ascii="Arial" w:hAnsi="Arial" w:cs="Arial"/>
          <w:sz w:val="20"/>
          <w:szCs w:val="20"/>
        </w:rPr>
        <w:t xml:space="preserve"> updated and </w:t>
      </w:r>
      <w:r w:rsidR="00913296">
        <w:rPr>
          <w:rFonts w:ascii="Arial" w:hAnsi="Arial" w:cs="Arial"/>
          <w:sz w:val="20"/>
          <w:szCs w:val="20"/>
        </w:rPr>
        <w:t xml:space="preserve">made </w:t>
      </w:r>
      <w:r>
        <w:rPr>
          <w:rFonts w:ascii="Arial" w:hAnsi="Arial" w:cs="Arial"/>
          <w:sz w:val="20"/>
          <w:szCs w:val="20"/>
        </w:rPr>
        <w:t>available on the NANPA website.</w:t>
      </w:r>
    </w:p>
    <w:p w:rsidR="00D460F9" w:rsidRDefault="00D460F9" w:rsidP="00D460F9">
      <w:pPr>
        <w:rPr>
          <w:rFonts w:ascii="Arial" w:hAnsi="Arial" w:cs="Arial"/>
          <w:b/>
          <w:sz w:val="20"/>
          <w:szCs w:val="20"/>
        </w:rPr>
      </w:pPr>
    </w:p>
    <w:p w:rsidR="00D460F9" w:rsidRDefault="00D460F9" w:rsidP="00D460F9">
      <w:pPr>
        <w:rPr>
          <w:rFonts w:ascii="Arial" w:hAnsi="Arial" w:cs="Arial"/>
          <w:b/>
          <w:sz w:val="20"/>
          <w:szCs w:val="20"/>
        </w:rPr>
      </w:pPr>
    </w:p>
    <w:p w:rsidR="00D460F9" w:rsidRPr="00D460F9" w:rsidRDefault="00D460F9" w:rsidP="00D460F9">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p w:rsidR="00D460F9" w:rsidRDefault="00D460F9" w:rsidP="00B40844">
      <w:pPr>
        <w:rPr>
          <w:rFonts w:ascii="Arial" w:hAnsi="Arial" w:cs="Arial"/>
          <w:b/>
          <w:sz w:val="20"/>
          <w:szCs w:val="20"/>
        </w:rPr>
      </w:pPr>
    </w:p>
    <w:bookmarkStart w:id="2" w:name="_MON_1467787129"/>
    <w:bookmarkEnd w:id="2"/>
    <w:p w:rsidR="00A5650B" w:rsidRDefault="00D460F9" w:rsidP="00B40844">
      <w:pPr>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8" ShapeID="_x0000_i1025" DrawAspect="Icon" ObjectID="_1470565717" r:id="rId9">
            <o:FieldCodes>\s</o:FieldCodes>
          </o:OLEObject>
        </w:object>
      </w:r>
    </w:p>
    <w:p w:rsidR="008A0ADE" w:rsidRDefault="008A0ADE" w:rsidP="00B40844">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F4DB3" w:rsidRDefault="00227322" w:rsidP="009F4DB3">
      <w:pPr>
        <w:pStyle w:val="ListParagraph"/>
        <w:numPr>
          <w:ilvl w:val="0"/>
          <w:numId w:val="5"/>
        </w:numPr>
        <w:rPr>
          <w:rFonts w:ascii="Arial" w:hAnsi="Arial" w:cs="Arial"/>
          <w:sz w:val="20"/>
          <w:szCs w:val="20"/>
        </w:rPr>
      </w:pPr>
      <w:bookmarkStart w:id="4" w:name="_Toc320540184"/>
      <w:r>
        <w:rPr>
          <w:rFonts w:ascii="Arial" w:hAnsi="Arial" w:cs="Arial"/>
          <w:sz w:val="20"/>
          <w:szCs w:val="20"/>
        </w:rPr>
        <w:t>No complaints received</w:t>
      </w:r>
    </w:p>
    <w:p w:rsidR="00955FDD" w:rsidRDefault="00955FDD" w:rsidP="00955FDD">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D65E38" w:rsidRDefault="003F5795" w:rsidP="00D65E38">
      <w:pPr>
        <w:numPr>
          <w:ilvl w:val="0"/>
          <w:numId w:val="7"/>
        </w:numPr>
        <w:rPr>
          <w:rFonts w:ascii="Arial" w:hAnsi="Arial" w:cs="Arial"/>
          <w:sz w:val="20"/>
          <w:szCs w:val="20"/>
        </w:rPr>
      </w:pPr>
      <w:bookmarkStart w:id="5" w:name="_Toc320540185"/>
      <w:r>
        <w:rPr>
          <w:rFonts w:ascii="Arial" w:hAnsi="Arial" w:cs="Arial"/>
          <w:sz w:val="20"/>
          <w:szCs w:val="20"/>
        </w:rPr>
        <w:t>The NAS User Reg</w:t>
      </w:r>
      <w:r w:rsidR="001A7FE0">
        <w:rPr>
          <w:rFonts w:ascii="Arial" w:hAnsi="Arial" w:cs="Arial"/>
          <w:sz w:val="20"/>
          <w:szCs w:val="20"/>
        </w:rPr>
        <w:t xml:space="preserve">istration Guide was updated </w:t>
      </w:r>
      <w:r w:rsidR="00913296">
        <w:rPr>
          <w:rFonts w:ascii="Arial" w:hAnsi="Arial" w:cs="Arial"/>
          <w:sz w:val="20"/>
          <w:szCs w:val="20"/>
        </w:rPr>
        <w:t>in July 2014</w:t>
      </w:r>
      <w:r w:rsidR="001A7FE0">
        <w:rPr>
          <w:rFonts w:ascii="Arial" w:hAnsi="Arial" w:cs="Arial"/>
          <w:sz w:val="20"/>
          <w:szCs w:val="20"/>
        </w:rPr>
        <w:t>.</w:t>
      </w:r>
    </w:p>
    <w:p w:rsidR="008526EC" w:rsidRPr="008526EC" w:rsidRDefault="008526EC" w:rsidP="008526EC">
      <w:pPr>
        <w:rPr>
          <w:rFonts w:ascii="Arial" w:hAnsi="Arial" w:cs="Arial"/>
          <w:sz w:val="20"/>
          <w:szCs w:val="20"/>
        </w:rPr>
      </w:pPr>
    </w:p>
    <w:p w:rsidR="00913296" w:rsidRDefault="00913296" w:rsidP="009F4DB3">
      <w:pPr>
        <w:pStyle w:val="ListParagraph"/>
        <w:ind w:left="0"/>
        <w:rPr>
          <w:rFonts w:ascii="Arial" w:hAnsi="Arial" w:cs="Arial"/>
          <w:b/>
          <w:sz w:val="20"/>
          <w:szCs w:val="20"/>
          <w:u w:val="single"/>
        </w:rPr>
      </w:pPr>
      <w:r>
        <w:rPr>
          <w:rFonts w:ascii="Arial" w:hAnsi="Arial" w:cs="Arial"/>
          <w:b/>
          <w:sz w:val="20"/>
          <w:szCs w:val="20"/>
          <w:u w:val="single"/>
        </w:rPr>
        <w:t>NAS Trouble Ticket Analysis</w:t>
      </w:r>
    </w:p>
    <w:p w:rsidR="00913296" w:rsidRDefault="00913296" w:rsidP="009F4DB3">
      <w:pPr>
        <w:pStyle w:val="ListParagraph"/>
        <w:ind w:left="0"/>
        <w:rPr>
          <w:rFonts w:ascii="Arial" w:hAnsi="Arial" w:cs="Arial"/>
          <w:b/>
          <w:sz w:val="20"/>
          <w:szCs w:val="20"/>
          <w:u w:val="single"/>
        </w:rPr>
      </w:pPr>
    </w:p>
    <w:p w:rsidR="00EA4141" w:rsidRDefault="00913296" w:rsidP="00913296">
      <w:pPr>
        <w:pStyle w:val="NoSpacing"/>
        <w:rPr>
          <w:rFonts w:ascii="Arial" w:hAnsi="Arial" w:cs="Arial"/>
        </w:rPr>
      </w:pPr>
      <w:r>
        <w:rPr>
          <w:rFonts w:ascii="Arial" w:hAnsi="Arial" w:cs="Arial"/>
        </w:rPr>
        <w:t xml:space="preserve">At the request of the NOWG, </w:t>
      </w:r>
      <w:r w:rsidRPr="00913296">
        <w:rPr>
          <w:rFonts w:ascii="Arial" w:hAnsi="Arial" w:cs="Arial"/>
        </w:rPr>
        <w:t>NANPA provided an analysis of NAS trouble tickets</w:t>
      </w:r>
      <w:r>
        <w:rPr>
          <w:rFonts w:ascii="Arial" w:hAnsi="Arial" w:cs="Arial"/>
        </w:rPr>
        <w:t xml:space="preserve">.  </w:t>
      </w:r>
      <w:r w:rsidRPr="00EA4141">
        <w:rPr>
          <w:rFonts w:ascii="Arial" w:hAnsi="Arial" w:cs="Arial"/>
        </w:rPr>
        <w:t xml:space="preserve">An examination of the trouble tickets from 2011 through 2014 was made </w:t>
      </w:r>
      <w:r w:rsidR="00EA4141">
        <w:rPr>
          <w:rFonts w:ascii="Arial" w:hAnsi="Arial" w:cs="Arial"/>
        </w:rPr>
        <w:t xml:space="preserve">by NANPA </w:t>
      </w:r>
      <w:r w:rsidRPr="00EA4141">
        <w:rPr>
          <w:rFonts w:ascii="Arial" w:hAnsi="Arial" w:cs="Arial"/>
        </w:rPr>
        <w:t>to identify the functionality associated with the ticket (NRUF, CO code admin, Other Resources, etc.).  If the functionality was present prior to the April 2013 NAS refresh and there was no change to the functionality with the refresh, any ticket open regarding that functionality was considered to be associated with the refresh.  For example, a ticket pertaining to NAS user IDs whereby IDs were case-insensitive prior to the refresh but were case-sensitive after the refresh was categorized as NAS-refresh related.  The appearance of a code or block on the NRUF Utilization Missing Report (UMR) due to a problem with the snapshot used for this report was considered non-refresh related.</w:t>
      </w:r>
      <w:r w:rsidR="00EA4141">
        <w:rPr>
          <w:rFonts w:ascii="Arial" w:hAnsi="Arial" w:cs="Arial"/>
        </w:rPr>
        <w:t xml:space="preserve">  </w:t>
      </w:r>
    </w:p>
    <w:p w:rsidR="00EA4141" w:rsidRDefault="00EA4141" w:rsidP="00913296">
      <w:pPr>
        <w:pStyle w:val="NoSpacing"/>
        <w:rPr>
          <w:rFonts w:ascii="Arial" w:hAnsi="Arial" w:cs="Arial"/>
        </w:rPr>
      </w:pPr>
    </w:p>
    <w:p w:rsidR="00913296" w:rsidRPr="00EA4141" w:rsidRDefault="00EA4141" w:rsidP="00913296">
      <w:pPr>
        <w:pStyle w:val="NoSpacing"/>
        <w:rPr>
          <w:rFonts w:ascii="Arial" w:hAnsi="Arial" w:cs="Arial"/>
        </w:rPr>
      </w:pPr>
      <w:r>
        <w:rPr>
          <w:rFonts w:ascii="Arial" w:hAnsi="Arial" w:cs="Arial"/>
        </w:rPr>
        <w:t xml:space="preserve">NANPA agreed to update this analysis to include data from the 2H14 and present the final results to the NOWG.  </w:t>
      </w:r>
    </w:p>
    <w:p w:rsidR="00913296" w:rsidRPr="00EA4141" w:rsidRDefault="00913296" w:rsidP="009F4DB3">
      <w:pPr>
        <w:pStyle w:val="ListParagraph"/>
        <w:ind w:left="0"/>
        <w:rPr>
          <w:rFonts w:ascii="Arial" w:hAnsi="Arial" w:cs="Arial"/>
          <w:sz w:val="20"/>
          <w:szCs w:val="20"/>
        </w:rPr>
      </w:pPr>
      <w:r>
        <w:rPr>
          <w:rFonts w:ascii="Arial" w:hAnsi="Arial" w:cs="Arial"/>
          <w:sz w:val="20"/>
          <w:szCs w:val="20"/>
        </w:rPr>
        <w:t xml:space="preserve">  </w:t>
      </w:r>
    </w:p>
    <w:p w:rsidR="00913296" w:rsidRDefault="00913296" w:rsidP="009F4DB3">
      <w:pPr>
        <w:pStyle w:val="ListParagraph"/>
        <w:ind w:left="0"/>
        <w:rPr>
          <w:rFonts w:ascii="Arial" w:hAnsi="Arial" w:cs="Arial"/>
          <w:b/>
          <w:sz w:val="20"/>
          <w:szCs w:val="20"/>
          <w:u w:val="single"/>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1A7FE0" w:rsidRPr="00890E4E" w:rsidRDefault="001A7FE0" w:rsidP="001A7FE0">
      <w:pPr>
        <w:pStyle w:val="ListParagraph"/>
        <w:numPr>
          <w:ilvl w:val="0"/>
          <w:numId w:val="21"/>
        </w:numPr>
        <w:rPr>
          <w:rFonts w:ascii="Arial" w:hAnsi="Arial" w:cs="Arial"/>
          <w:b/>
          <w:sz w:val="20"/>
          <w:szCs w:val="20"/>
        </w:rPr>
      </w:pPr>
      <w:r>
        <w:rPr>
          <w:rFonts w:ascii="Arial" w:hAnsi="Arial" w:cs="Arial"/>
          <w:color w:val="000000"/>
          <w:sz w:val="20"/>
          <w:szCs w:val="20"/>
        </w:rPr>
        <w:t xml:space="preserve">Ticket  #1:  </w:t>
      </w:r>
      <w:r w:rsidRPr="001A7FE0">
        <w:rPr>
          <w:rFonts w:ascii="Arial" w:hAnsi="Arial" w:cs="Arial"/>
          <w:color w:val="000000"/>
          <w:sz w:val="20"/>
          <w:szCs w:val="20"/>
        </w:rPr>
        <w:t xml:space="preserve">On May 15, 2013, a NAS user reported they were unable to download the zipped excel files available under the Central Office Code Assignment Records available in secure NAS.  Based upon discussions with the user, it was determined the secure Excel files were not downloadable if the user was using Microsoft IE Version 7.0.  The files on the secure site are downloadable for later versions of IE as well as other browser types (e.g., Firefox and Chrome).  Further, the Excel files under the Central Office Code Assignment Records available on the public website are downloadable in IE Version 7.0.  A NAS software build was deployed on 7/12/13 to address the Excel files on secure NAS but the problem still existed.   Update on 8/19/13 – The user reported that he was unable to download the zipped files after moving to Microsoft IE Version 8.0.  This was confirmed with other users from a different </w:t>
      </w:r>
      <w:r>
        <w:rPr>
          <w:rFonts w:ascii="Arial" w:hAnsi="Arial" w:cs="Arial"/>
          <w:color w:val="000000"/>
          <w:sz w:val="20"/>
          <w:szCs w:val="20"/>
        </w:rPr>
        <w:t xml:space="preserve">company also use IE Version 8.0.  </w:t>
      </w:r>
      <w:r w:rsidR="00AA24DA">
        <w:rPr>
          <w:rFonts w:ascii="Arial" w:hAnsi="Arial" w:cs="Arial"/>
          <w:color w:val="000000"/>
          <w:sz w:val="20"/>
          <w:szCs w:val="20"/>
        </w:rPr>
        <w:t>The NAS user</w:t>
      </w:r>
      <w:r w:rsidR="00890E4E">
        <w:rPr>
          <w:rFonts w:ascii="Arial" w:hAnsi="Arial" w:cs="Arial"/>
          <w:color w:val="000000"/>
          <w:sz w:val="20"/>
          <w:szCs w:val="20"/>
        </w:rPr>
        <w:t xml:space="preserve"> requiring these reports continues to use IE Version 8.0 or earlier.  NANPA has confirmed at IE 9.0 or later can download these reports.  The NANPA will continue to send the user the reports until the user updates his IE version.  With this solution – NANPA closed this issue.  </w:t>
      </w:r>
      <w:r w:rsidR="00890E4E" w:rsidRPr="00890E4E">
        <w:rPr>
          <w:rFonts w:ascii="Arial" w:hAnsi="Arial" w:cs="Arial"/>
          <w:b/>
          <w:color w:val="000000"/>
          <w:sz w:val="20"/>
          <w:szCs w:val="20"/>
        </w:rPr>
        <w:t>Ticket closed 7/8/14</w:t>
      </w:r>
    </w:p>
    <w:p w:rsidR="001A7FE0" w:rsidRPr="001A7FE0" w:rsidRDefault="001A7FE0" w:rsidP="001A7FE0">
      <w:pPr>
        <w:pStyle w:val="ListParagraph"/>
        <w:numPr>
          <w:ilvl w:val="0"/>
          <w:numId w:val="21"/>
        </w:numPr>
        <w:rPr>
          <w:rFonts w:ascii="Arial" w:hAnsi="Arial" w:cs="Arial"/>
          <w:color w:val="000000"/>
          <w:sz w:val="20"/>
          <w:szCs w:val="20"/>
        </w:rPr>
      </w:pPr>
      <w:r>
        <w:rPr>
          <w:rFonts w:ascii="Arial" w:hAnsi="Arial" w:cs="Arial"/>
          <w:color w:val="000000"/>
          <w:sz w:val="20"/>
          <w:szCs w:val="20"/>
        </w:rPr>
        <w:t xml:space="preserve">Ticket #4:  </w:t>
      </w:r>
      <w:r w:rsidRPr="001A7FE0">
        <w:rPr>
          <w:rFonts w:ascii="Arial" w:hAnsi="Arial" w:cs="Arial"/>
          <w:color w:val="000000"/>
          <w:sz w:val="20"/>
          <w:szCs w:val="20"/>
        </w:rPr>
        <w:t>On January 14, 2014, a service provider reported to NANPA that the CO Code Utilization Report on the NANPA website was showing a central office code that was in vacant status effective November 23, 2013.  This code had been included in a mass modification submitted in early December.  NAS should have identified this code was vacant when the mass modification utility was executed in the system.  NANPA manually changed the status to show the code as vacant.  A ticket was opened on January 15, 2014 at 12:59pm ET.</w:t>
      </w:r>
      <w:r>
        <w:rPr>
          <w:rFonts w:ascii="Arial" w:hAnsi="Arial" w:cs="Arial"/>
          <w:color w:val="000000"/>
          <w:sz w:val="20"/>
          <w:szCs w:val="20"/>
        </w:rPr>
        <w:t xml:space="preserve">  </w:t>
      </w:r>
      <w:r w:rsidRPr="001A7FE0">
        <w:rPr>
          <w:rFonts w:ascii="Arial" w:hAnsi="Arial" w:cs="Arial"/>
          <w:b/>
          <w:color w:val="000000"/>
          <w:sz w:val="20"/>
          <w:szCs w:val="20"/>
        </w:rPr>
        <w:t>Ticket remains open.</w:t>
      </w:r>
    </w:p>
    <w:p w:rsidR="001A7FE0" w:rsidRDefault="001A7FE0" w:rsidP="001A7FE0">
      <w:pPr>
        <w:numPr>
          <w:ilvl w:val="0"/>
          <w:numId w:val="21"/>
        </w:numPr>
        <w:rPr>
          <w:rFonts w:ascii="Arial" w:hAnsi="Arial" w:cs="Arial"/>
          <w:sz w:val="20"/>
          <w:szCs w:val="20"/>
        </w:rPr>
      </w:pPr>
      <w:r>
        <w:rPr>
          <w:rFonts w:ascii="Arial" w:hAnsi="Arial" w:cs="Arial"/>
          <w:sz w:val="20"/>
          <w:szCs w:val="20"/>
        </w:rPr>
        <w:t xml:space="preserve">Ticket #9:  On May 30, 2014 NAS users received several copies of a NAS and mailing list users that receive NRUF notifications received several copies of an email from NANPA regarding avoiding NRUF filing errors.  Trouble ticket was opened on 5/30/14 at 1:42 pm ET.  NANPA determined the problem was the attachment distributed with the notice.  A fix was deployed in the system the evening </w:t>
      </w:r>
      <w:r>
        <w:rPr>
          <w:rFonts w:ascii="Arial" w:hAnsi="Arial" w:cs="Arial"/>
          <w:sz w:val="20"/>
          <w:szCs w:val="20"/>
        </w:rPr>
        <w:lastRenderedPageBreak/>
        <w:t xml:space="preserve">of 5/30.  Ticket will remain open until NANPA successfully distributes an NNS notice containing an attachment.  </w:t>
      </w:r>
      <w:r w:rsidRPr="001A7FE0">
        <w:rPr>
          <w:rFonts w:ascii="Arial" w:hAnsi="Arial" w:cs="Arial"/>
          <w:b/>
          <w:color w:val="000000"/>
          <w:sz w:val="20"/>
          <w:szCs w:val="20"/>
        </w:rPr>
        <w:t>Ticket remains open.</w:t>
      </w:r>
    </w:p>
    <w:p w:rsidR="001A7FE0" w:rsidRPr="001A7FE0" w:rsidRDefault="001A7FE0" w:rsidP="001A7FE0">
      <w:pPr>
        <w:pStyle w:val="ListParagraph"/>
        <w:ind w:left="360"/>
        <w:rPr>
          <w:rFonts w:ascii="Arial" w:hAnsi="Arial" w:cs="Arial"/>
          <w:sz w:val="20"/>
          <w:szCs w:val="20"/>
        </w:rPr>
      </w:pPr>
    </w:p>
    <w:p w:rsidR="00DF2657" w:rsidRDefault="00DF2657" w:rsidP="00DF2657">
      <w:pPr>
        <w:rPr>
          <w:rFonts w:ascii="Arial" w:hAnsi="Arial" w:cs="Arial"/>
          <w:b/>
          <w:sz w:val="20"/>
          <w:szCs w:val="20"/>
        </w:rPr>
      </w:pPr>
      <w:r w:rsidRPr="00F81DF8">
        <w:rPr>
          <w:rFonts w:ascii="Arial" w:hAnsi="Arial" w:cs="Arial"/>
          <w:b/>
          <w:sz w:val="20"/>
          <w:szCs w:val="20"/>
        </w:rPr>
        <w:t>Details:</w:t>
      </w:r>
    </w:p>
    <w:p w:rsidR="00DF2657" w:rsidRDefault="00DF2657" w:rsidP="00DF2657">
      <w:pPr>
        <w:rPr>
          <w:rFonts w:ascii="Arial" w:hAnsi="Arial" w:cs="Arial"/>
          <w:b/>
          <w:sz w:val="20"/>
          <w:szCs w:val="20"/>
        </w:rPr>
      </w:pPr>
    </w:p>
    <w:p w:rsidR="00E41000" w:rsidRPr="0067335F" w:rsidRDefault="00DF2657" w:rsidP="0067335F">
      <w:pPr>
        <w:pStyle w:val="ListParagraph"/>
        <w:numPr>
          <w:ilvl w:val="0"/>
          <w:numId w:val="28"/>
        </w:numPr>
        <w:rPr>
          <w:rFonts w:ascii="Arial" w:hAnsi="Arial" w:cs="Arial"/>
          <w:sz w:val="20"/>
          <w:szCs w:val="20"/>
        </w:rPr>
      </w:pPr>
      <w:r w:rsidRPr="0067335F">
        <w:rPr>
          <w:rFonts w:ascii="Arial" w:hAnsi="Arial" w:cs="Arial"/>
          <w:sz w:val="20"/>
          <w:szCs w:val="20"/>
        </w:rPr>
        <w:t>Please see the appropriate tab in the “NANPA Measurements” do</w:t>
      </w:r>
      <w:r w:rsidR="001A7FE0">
        <w:rPr>
          <w:rFonts w:ascii="Arial" w:hAnsi="Arial" w:cs="Arial"/>
          <w:sz w:val="20"/>
          <w:szCs w:val="20"/>
        </w:rPr>
        <w:t xml:space="preserve">cument attached below for </w:t>
      </w:r>
      <w:r w:rsidRPr="0067335F">
        <w:rPr>
          <w:rFonts w:ascii="Arial" w:hAnsi="Arial" w:cs="Arial"/>
          <w:sz w:val="20"/>
          <w:szCs w:val="20"/>
        </w:rPr>
        <w:t xml:space="preserve"> information on </w:t>
      </w:r>
      <w:r w:rsidR="0067335F" w:rsidRPr="0067335F">
        <w:rPr>
          <w:rFonts w:ascii="Arial" w:hAnsi="Arial" w:cs="Arial"/>
          <w:sz w:val="20"/>
          <w:szCs w:val="20"/>
        </w:rPr>
        <w:t>Trouble Tickets</w:t>
      </w: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1A7FE0">
        <w:rPr>
          <w:rFonts w:ascii="Arial" w:hAnsi="Arial" w:cs="Arial"/>
          <w:b/>
          <w:sz w:val="20"/>
          <w:szCs w:val="20"/>
        </w:rPr>
        <w:t>June</w:t>
      </w:r>
      <w:r w:rsidR="00400302">
        <w:rPr>
          <w:rFonts w:ascii="Arial" w:hAnsi="Arial" w:cs="Arial"/>
          <w:b/>
          <w:sz w:val="20"/>
          <w:szCs w:val="20"/>
        </w:rPr>
        <w:t>,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1A7FE0" w:rsidP="00C840E0">
            <w:pPr>
              <w:rPr>
                <w:rFonts w:ascii="Arial" w:hAnsi="Arial" w:cs="Arial"/>
                <w:sz w:val="20"/>
                <w:szCs w:val="20"/>
              </w:rPr>
            </w:pPr>
            <w:r>
              <w:rPr>
                <w:rFonts w:ascii="Arial" w:hAnsi="Arial" w:cs="Arial"/>
                <w:sz w:val="20"/>
                <w:szCs w:val="20"/>
              </w:rPr>
              <w:t>247</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1A7FE0" w:rsidP="00F14AFB">
            <w:pPr>
              <w:rPr>
                <w:rFonts w:ascii="Arial" w:hAnsi="Arial" w:cs="Arial"/>
                <w:sz w:val="20"/>
                <w:szCs w:val="20"/>
              </w:rPr>
            </w:pPr>
            <w:r>
              <w:rPr>
                <w:rFonts w:ascii="Arial" w:hAnsi="Arial" w:cs="Arial"/>
                <w:sz w:val="20"/>
                <w:szCs w:val="20"/>
              </w:rPr>
              <w:t>191</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1A7FE0" w:rsidP="00C840E0">
            <w:pPr>
              <w:rPr>
                <w:rFonts w:ascii="Arial" w:hAnsi="Arial" w:cs="Arial"/>
                <w:sz w:val="20"/>
                <w:szCs w:val="20"/>
              </w:rPr>
            </w:pPr>
            <w:r>
              <w:rPr>
                <w:rFonts w:ascii="Arial" w:hAnsi="Arial" w:cs="Arial"/>
                <w:sz w:val="20"/>
                <w:szCs w:val="20"/>
              </w:rPr>
              <w:t>42</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1A7FE0" w:rsidP="00C840E0">
            <w:pPr>
              <w:rPr>
                <w:rFonts w:ascii="Arial" w:hAnsi="Arial" w:cs="Arial"/>
                <w:sz w:val="20"/>
                <w:szCs w:val="20"/>
              </w:rPr>
            </w:pPr>
            <w:r>
              <w:rPr>
                <w:rFonts w:ascii="Arial" w:hAnsi="Arial" w:cs="Arial"/>
                <w:sz w:val="20"/>
                <w:szCs w:val="20"/>
              </w:rPr>
              <w:t>8</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C54B8B"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1A7FE0" w:rsidP="00C840E0">
            <w:pPr>
              <w:rPr>
                <w:rFonts w:ascii="Arial" w:hAnsi="Arial" w:cs="Arial"/>
                <w:sz w:val="20"/>
                <w:szCs w:val="20"/>
              </w:rPr>
            </w:pPr>
            <w:r>
              <w:rPr>
                <w:rFonts w:ascii="Arial" w:hAnsi="Arial" w:cs="Arial"/>
                <w:sz w:val="20"/>
                <w:szCs w:val="20"/>
              </w:rPr>
              <w:t>8</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1F40B3" w:rsidP="00EC78BA">
            <w:pPr>
              <w:rPr>
                <w:rFonts w:ascii="Arial" w:hAnsi="Arial" w:cs="Arial"/>
                <w:b/>
                <w:bCs/>
                <w:sz w:val="20"/>
                <w:szCs w:val="20"/>
              </w:rPr>
            </w:pPr>
            <w:r>
              <w:rPr>
                <w:rFonts w:ascii="Arial" w:hAnsi="Arial" w:cs="Arial"/>
                <w:b/>
                <w:bCs/>
                <w:sz w:val="20"/>
                <w:szCs w:val="20"/>
              </w:rPr>
              <w:t>488</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E41000" w:rsidP="001F40B3">
            <w:pPr>
              <w:rPr>
                <w:rFonts w:ascii="Arial" w:hAnsi="Arial" w:cs="Arial"/>
                <w:sz w:val="20"/>
                <w:szCs w:val="20"/>
              </w:rPr>
            </w:pPr>
            <w:r>
              <w:rPr>
                <w:rFonts w:ascii="Arial" w:hAnsi="Arial" w:cs="Arial"/>
                <w:sz w:val="20"/>
                <w:szCs w:val="20"/>
              </w:rPr>
              <w:t>4</w:t>
            </w:r>
            <w:r w:rsidR="001F40B3">
              <w:rPr>
                <w:rFonts w:ascii="Arial" w:hAnsi="Arial" w:cs="Arial"/>
                <w:sz w:val="20"/>
                <w:szCs w:val="20"/>
              </w:rPr>
              <w:t>58</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1F40B3" w:rsidP="00C840E0">
            <w:pPr>
              <w:rPr>
                <w:rFonts w:ascii="Arial" w:hAnsi="Arial" w:cs="Arial"/>
                <w:sz w:val="20"/>
                <w:szCs w:val="20"/>
              </w:rPr>
            </w:pPr>
            <w:r>
              <w:rPr>
                <w:rFonts w:ascii="Arial" w:hAnsi="Arial" w:cs="Arial"/>
                <w:sz w:val="20"/>
                <w:szCs w:val="20"/>
              </w:rPr>
              <w:t>6</w:t>
            </w:r>
          </w:p>
        </w:tc>
      </w:tr>
    </w:tbl>
    <w:p w:rsidR="00B13A6D" w:rsidRDefault="00B13A6D" w:rsidP="00B67D93">
      <w:pPr>
        <w:rPr>
          <w:rFonts w:ascii="Arial" w:hAnsi="Arial" w:cs="Arial"/>
          <w:sz w:val="20"/>
          <w:szCs w:val="20"/>
        </w:rPr>
      </w:pPr>
    </w:p>
    <w:p w:rsidR="009847CE" w:rsidRDefault="009847CE"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2A34A6">
        <w:rPr>
          <w:rFonts w:ascii="Arial" w:hAnsi="Arial" w:cs="Arial"/>
          <w:b/>
          <w:sz w:val="20"/>
          <w:szCs w:val="20"/>
        </w:rPr>
        <w:t>June</w:t>
      </w:r>
      <w:r w:rsidR="00400302">
        <w:rPr>
          <w:rFonts w:ascii="Arial" w:hAnsi="Arial" w:cs="Arial"/>
          <w:b/>
          <w:sz w:val="20"/>
          <w:szCs w:val="20"/>
        </w:rPr>
        <w:t>,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6669C6" w:rsidP="00645897">
            <w:pPr>
              <w:rPr>
                <w:rFonts w:ascii="Arial" w:hAnsi="Arial" w:cs="Arial"/>
                <w:sz w:val="20"/>
                <w:szCs w:val="20"/>
              </w:rPr>
            </w:pPr>
            <w:r>
              <w:rPr>
                <w:rFonts w:ascii="Arial" w:hAnsi="Arial" w:cs="Arial"/>
                <w:sz w:val="20"/>
                <w:szCs w:val="20"/>
              </w:rPr>
              <w:t>35</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6669C6" w:rsidP="009847CE">
            <w:pPr>
              <w:rPr>
                <w:rFonts w:ascii="Arial" w:hAnsi="Arial" w:cs="Arial"/>
                <w:sz w:val="20"/>
                <w:szCs w:val="20"/>
              </w:rPr>
            </w:pPr>
            <w:r>
              <w:rPr>
                <w:rFonts w:ascii="Arial" w:hAnsi="Arial" w:cs="Arial"/>
                <w:sz w:val="20"/>
                <w:szCs w:val="20"/>
              </w:rPr>
              <w:t>36</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6669C6" w:rsidP="006305EF">
            <w:pPr>
              <w:rPr>
                <w:rFonts w:ascii="Arial" w:hAnsi="Arial" w:cs="Arial"/>
                <w:sz w:val="20"/>
                <w:szCs w:val="20"/>
              </w:rPr>
            </w:pPr>
            <w:r>
              <w:rPr>
                <w:rFonts w:ascii="Arial" w:hAnsi="Arial" w:cs="Arial"/>
                <w:sz w:val="20"/>
                <w:szCs w:val="20"/>
              </w:rPr>
              <w:t>16</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6669C6" w:rsidP="006305EF">
            <w:pPr>
              <w:rPr>
                <w:rFonts w:ascii="Arial" w:hAnsi="Arial" w:cs="Arial"/>
                <w:sz w:val="20"/>
                <w:szCs w:val="20"/>
              </w:rPr>
            </w:pPr>
            <w:r>
              <w:rPr>
                <w:rFonts w:ascii="Arial" w:hAnsi="Arial" w:cs="Arial"/>
                <w:sz w:val="20"/>
                <w:szCs w:val="20"/>
              </w:rPr>
              <w:t>40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FB5DB6" w:rsidRDefault="00C60805" w:rsidP="00B67D93">
      <w:pPr>
        <w:rPr>
          <w:rFonts w:ascii="Arial" w:hAnsi="Arial" w:cs="Arial"/>
          <w:sz w:val="20"/>
          <w:szCs w:val="20"/>
        </w:rPr>
      </w:pPr>
      <w:r>
        <w:rPr>
          <w:rFonts w:ascii="Arial" w:hAnsi="Arial" w:cs="Arial"/>
          <w:sz w:val="20"/>
          <w:szCs w:val="20"/>
        </w:rPr>
        <w:t>.</w:t>
      </w: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NANPA Measurements</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6669C6">
        <w:rPr>
          <w:rStyle w:val="Strong"/>
          <w:rFonts w:ascii="Arial" w:hAnsi="Arial" w:cs="Arial"/>
          <w:b w:val="0"/>
          <w:sz w:val="20"/>
          <w:szCs w:val="20"/>
        </w:rPr>
        <w:t>June</w:t>
      </w:r>
    </w:p>
    <w:p w:rsidR="008353FD" w:rsidRDefault="008353FD" w:rsidP="00F860D6">
      <w:pPr>
        <w:numPr>
          <w:ilvl w:val="0"/>
          <w:numId w:val="4"/>
        </w:numPr>
        <w:rPr>
          <w:rStyle w:val="Strong"/>
          <w:rFonts w:ascii="Arial" w:hAnsi="Arial" w:cs="Arial"/>
          <w:b w:val="0"/>
          <w:sz w:val="20"/>
          <w:szCs w:val="20"/>
        </w:rPr>
      </w:pPr>
      <w:r w:rsidRPr="00F23807">
        <w:rPr>
          <w:rStyle w:val="Strong"/>
          <w:rFonts w:ascii="Arial" w:hAnsi="Arial" w:cs="Arial"/>
          <w:b w:val="0"/>
          <w:sz w:val="20"/>
          <w:szCs w:val="20"/>
        </w:rPr>
        <w:t xml:space="preserve">There were </w:t>
      </w:r>
      <w:r w:rsidR="006669C6">
        <w:rPr>
          <w:rStyle w:val="Strong"/>
          <w:rFonts w:ascii="Arial" w:hAnsi="Arial" w:cs="Arial"/>
          <w:b w:val="0"/>
          <w:sz w:val="20"/>
          <w:szCs w:val="20"/>
        </w:rPr>
        <w:t>150</w:t>
      </w:r>
      <w:r w:rsidR="000D5FEF">
        <w:rPr>
          <w:rStyle w:val="Strong"/>
          <w:rFonts w:ascii="Arial" w:hAnsi="Arial" w:cs="Arial"/>
          <w:b w:val="0"/>
          <w:sz w:val="20"/>
          <w:szCs w:val="20"/>
        </w:rPr>
        <w:t xml:space="preserve"> 5</w:t>
      </w:r>
      <w:r w:rsidR="00E000B4" w:rsidRPr="00F23807">
        <w:rPr>
          <w:rStyle w:val="Strong"/>
          <w:rFonts w:ascii="Arial" w:hAnsi="Arial" w:cs="Arial"/>
          <w:b w:val="0"/>
          <w:sz w:val="20"/>
          <w:szCs w:val="20"/>
        </w:rPr>
        <w:t xml:space="preserve">XX-NXX </w:t>
      </w:r>
      <w:r w:rsidRPr="00F23807">
        <w:rPr>
          <w:rStyle w:val="Strong"/>
          <w:rFonts w:ascii="Arial" w:hAnsi="Arial" w:cs="Arial"/>
          <w:b w:val="0"/>
          <w:sz w:val="20"/>
          <w:szCs w:val="20"/>
        </w:rPr>
        <w:t xml:space="preserve">assignments made in </w:t>
      </w:r>
      <w:r w:rsidR="006669C6">
        <w:rPr>
          <w:rStyle w:val="Strong"/>
          <w:rFonts w:ascii="Arial" w:hAnsi="Arial" w:cs="Arial"/>
          <w:b w:val="0"/>
          <w:sz w:val="20"/>
          <w:szCs w:val="20"/>
        </w:rPr>
        <w:t>June</w:t>
      </w:r>
    </w:p>
    <w:p w:rsidR="006669C6" w:rsidRDefault="006669C6" w:rsidP="00B27F5A">
      <w:pPr>
        <w:numPr>
          <w:ilvl w:val="0"/>
          <w:numId w:val="4"/>
        </w:numPr>
        <w:rPr>
          <w:rFonts w:ascii="Arial" w:hAnsi="Arial" w:cs="Arial"/>
          <w:sz w:val="20"/>
          <w:szCs w:val="20"/>
        </w:rPr>
      </w:pPr>
      <w:r>
        <w:rPr>
          <w:rFonts w:ascii="Arial" w:hAnsi="Arial" w:cs="Arial"/>
          <w:sz w:val="20"/>
          <w:szCs w:val="20"/>
        </w:rPr>
        <w:t>There were five CIC and one 800-855 reclamations/returns in June</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 </w:t>
      </w:r>
      <w:r w:rsidR="006669C6">
        <w:rPr>
          <w:rFonts w:ascii="Arial" w:hAnsi="Arial" w:cs="Arial"/>
          <w:sz w:val="20"/>
          <w:szCs w:val="20"/>
        </w:rPr>
        <w:t>July</w:t>
      </w:r>
      <w:r w:rsidR="002C78C2">
        <w:rPr>
          <w:rFonts w:ascii="Arial" w:hAnsi="Arial" w:cs="Arial"/>
          <w:sz w:val="20"/>
          <w:szCs w:val="20"/>
        </w:rPr>
        <w:t xml:space="preserve"> </w:t>
      </w:r>
      <w:r>
        <w:rPr>
          <w:rFonts w:ascii="Arial" w:hAnsi="Arial" w:cs="Arial"/>
          <w:sz w:val="20"/>
          <w:szCs w:val="20"/>
        </w:rPr>
        <w:t>201</w:t>
      </w:r>
      <w:r w:rsidR="002C78C2">
        <w:rPr>
          <w:rFonts w:ascii="Arial" w:hAnsi="Arial" w:cs="Arial"/>
          <w:sz w:val="20"/>
          <w:szCs w:val="20"/>
        </w:rPr>
        <w:t>4</w:t>
      </w:r>
      <w:r w:rsidRPr="006F62A4">
        <w:rPr>
          <w:rFonts w:ascii="Arial" w:hAnsi="Arial" w:cs="Arial"/>
          <w:sz w:val="20"/>
          <w:szCs w:val="20"/>
        </w:rPr>
        <w:t xml:space="preserve">” document attached below for detailed information on Other Resources. </w:t>
      </w: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0E0388" w:rsidRPr="00413E05" w:rsidRDefault="00DA6AEC" w:rsidP="00F27D26">
      <w:pPr>
        <w:numPr>
          <w:ilvl w:val="0"/>
          <w:numId w:val="7"/>
        </w:numPr>
        <w:rPr>
          <w:rFonts w:ascii="Arial" w:hAnsi="Arial" w:cs="Arial"/>
          <w:sz w:val="20"/>
          <w:szCs w:val="20"/>
        </w:rPr>
      </w:pPr>
      <w:r>
        <w:rPr>
          <w:rFonts w:ascii="Arial" w:hAnsi="Arial" w:cs="Arial"/>
          <w:sz w:val="20"/>
          <w:szCs w:val="20"/>
        </w:rPr>
        <w:t>301</w:t>
      </w:r>
      <w:r w:rsidR="007961D9">
        <w:rPr>
          <w:rFonts w:ascii="Arial" w:hAnsi="Arial" w:cs="Arial"/>
          <w:sz w:val="20"/>
          <w:szCs w:val="20"/>
        </w:rPr>
        <w:t xml:space="preserve"> </w:t>
      </w:r>
      <w:r w:rsidR="000E0388" w:rsidRPr="00413E05">
        <w:rPr>
          <w:rFonts w:ascii="Arial" w:hAnsi="Arial" w:cs="Arial"/>
          <w:sz w:val="20"/>
          <w:szCs w:val="20"/>
        </w:rPr>
        <w:t xml:space="preserve">NRUF submissions were received in </w:t>
      </w:r>
      <w:r w:rsidR="00494615">
        <w:rPr>
          <w:rFonts w:ascii="Arial" w:hAnsi="Arial" w:cs="Arial"/>
          <w:sz w:val="20"/>
          <w:szCs w:val="20"/>
        </w:rPr>
        <w:t>June</w:t>
      </w:r>
    </w:p>
    <w:p w:rsidR="002239F4" w:rsidRDefault="002239F4" w:rsidP="000D5FEF">
      <w:pPr>
        <w:numPr>
          <w:ilvl w:val="0"/>
          <w:numId w:val="7"/>
        </w:numPr>
        <w:rPr>
          <w:rFonts w:ascii="Arial" w:hAnsi="Arial" w:cs="Arial"/>
          <w:sz w:val="20"/>
          <w:szCs w:val="20"/>
        </w:rPr>
      </w:pPr>
      <w:r>
        <w:rPr>
          <w:rFonts w:ascii="Arial" w:hAnsi="Arial" w:cs="Arial"/>
          <w:sz w:val="20"/>
          <w:szCs w:val="20"/>
        </w:rPr>
        <w:t>NNS notification distributed reminding NAS users of the August 1, 2014 NRUF filing date</w:t>
      </w:r>
      <w:r w:rsidR="00494615">
        <w:rPr>
          <w:rFonts w:ascii="Arial" w:hAnsi="Arial" w:cs="Arial"/>
          <w:sz w:val="20"/>
          <w:szCs w:val="20"/>
        </w:rPr>
        <w:t xml:space="preserve"> and provided helpful tips when using the online submission method.</w:t>
      </w:r>
    </w:p>
    <w:p w:rsidR="004E3DE2" w:rsidRDefault="00B27F5A" w:rsidP="00F27D26">
      <w:pPr>
        <w:numPr>
          <w:ilvl w:val="0"/>
          <w:numId w:val="7"/>
        </w:numPr>
        <w:rPr>
          <w:rFonts w:ascii="Arial" w:hAnsi="Arial" w:cs="Arial"/>
          <w:sz w:val="20"/>
          <w:szCs w:val="20"/>
        </w:rPr>
      </w:pPr>
      <w:r w:rsidRPr="00413E05">
        <w:rPr>
          <w:rFonts w:ascii="Arial" w:hAnsi="Arial" w:cs="Arial"/>
          <w:sz w:val="20"/>
          <w:szCs w:val="20"/>
        </w:rPr>
        <w:t>Metrics/Benchmarks – Please see the appropriate t</w:t>
      </w:r>
      <w:r w:rsidR="006B45F5" w:rsidRPr="00413E05">
        <w:rPr>
          <w:rFonts w:ascii="Arial" w:hAnsi="Arial" w:cs="Arial"/>
          <w:sz w:val="20"/>
          <w:szCs w:val="20"/>
        </w:rPr>
        <w:t>ab in the “NANPA Measurements</w:t>
      </w:r>
      <w:r w:rsidRPr="00413E05">
        <w:rPr>
          <w:rFonts w:ascii="Arial" w:hAnsi="Arial" w:cs="Arial"/>
          <w:sz w:val="20"/>
          <w:szCs w:val="20"/>
        </w:rPr>
        <w:t>” document attached below for detailed information on NRUF Performance Measure</w:t>
      </w:r>
      <w:r w:rsidR="00D16CF8" w:rsidRPr="00413E05">
        <w:rPr>
          <w:rFonts w:ascii="Arial" w:hAnsi="Arial" w:cs="Arial"/>
          <w:sz w:val="20"/>
          <w:szCs w:val="20"/>
        </w:rPr>
        <w:t>ments</w:t>
      </w:r>
      <w:r w:rsidRPr="00413E05">
        <w:rPr>
          <w:rFonts w:ascii="Arial" w:hAnsi="Arial" w:cs="Arial"/>
          <w:sz w:val="20"/>
          <w:szCs w:val="20"/>
        </w:rPr>
        <w:t xml:space="preserve">. </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306B13" w:rsidP="00306B13"/>
    <w:p w:rsidR="00CF773C" w:rsidRPr="00CF773C" w:rsidRDefault="006669C6" w:rsidP="00CF773C">
      <w:r>
        <w:object w:dxaOrig="1551" w:dyaOrig="1004">
          <v:shape id="_x0000_i1026" type="#_x0000_t75" style="width:77.45pt;height:50.25pt" o:ole="">
            <v:imagedata r:id="rId10" o:title=""/>
          </v:shape>
          <o:OLEObject Type="Embed" ProgID="Excel.Sheet.12" ShapeID="_x0000_i1026" DrawAspect="Icon" ObjectID="_1470565718" r:id="rId11"/>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Metrics/Benchmarks – Please see the appropriate t</w:t>
      </w:r>
      <w:r w:rsidR="006B45F5">
        <w:rPr>
          <w:rFonts w:ascii="Arial" w:hAnsi="Arial" w:cs="Arial"/>
          <w:sz w:val="20"/>
          <w:szCs w:val="20"/>
        </w:rPr>
        <w:t>ab in the “NANPA Measurements</w:t>
      </w:r>
      <w:r w:rsidRPr="00DE2705">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All metrics for </w:t>
      </w:r>
      <w:r w:rsidR="00494615">
        <w:rPr>
          <w:rFonts w:ascii="Arial" w:hAnsi="Arial" w:cs="Arial"/>
          <w:sz w:val="20"/>
          <w:szCs w:val="20"/>
        </w:rPr>
        <w:t>June</w:t>
      </w:r>
      <w:r w:rsidR="00F14213">
        <w:rPr>
          <w:rFonts w:ascii="Arial" w:hAnsi="Arial" w:cs="Arial"/>
          <w:sz w:val="20"/>
          <w:szCs w:val="20"/>
        </w:rPr>
        <w:t xml:space="preserve"> </w:t>
      </w:r>
      <w:r w:rsidR="00E5506E" w:rsidRPr="00DE2705">
        <w:rPr>
          <w:rFonts w:ascii="Arial" w:hAnsi="Arial" w:cs="Arial"/>
          <w:sz w:val="20"/>
          <w:szCs w:val="20"/>
        </w:rPr>
        <w:t>were met</w:t>
      </w:r>
      <w:r w:rsidR="003E4BF4">
        <w:rPr>
          <w:rFonts w:ascii="Arial" w:hAnsi="Arial" w:cs="Arial"/>
          <w:sz w:val="20"/>
          <w:szCs w:val="20"/>
        </w:rPr>
        <w:t>.</w:t>
      </w:r>
    </w:p>
    <w:p w:rsidR="003E4BF4" w:rsidRDefault="003E4BF4" w:rsidP="00042717">
      <w:pPr>
        <w:numPr>
          <w:ilvl w:val="0"/>
          <w:numId w:val="2"/>
        </w:numPr>
        <w:tabs>
          <w:tab w:val="num" w:pos="-1820"/>
        </w:tabs>
        <w:ind w:left="360"/>
        <w:rPr>
          <w:rFonts w:ascii="Arial" w:hAnsi="Arial" w:cs="Arial"/>
          <w:sz w:val="20"/>
          <w:szCs w:val="20"/>
        </w:rPr>
      </w:pPr>
      <w:r>
        <w:rPr>
          <w:rFonts w:ascii="Arial" w:hAnsi="Arial" w:cs="Arial"/>
          <w:sz w:val="20"/>
          <w:szCs w:val="20"/>
        </w:rPr>
        <w:t>Conducted a survey of an industry conference call with 10 of the 16 participants on the call completing the survey with an average score of 4.99.</w:t>
      </w:r>
    </w:p>
    <w:p w:rsidR="00C52E3F" w:rsidRDefault="00913296" w:rsidP="002239F4">
      <w:pPr>
        <w:numPr>
          <w:ilvl w:val="0"/>
          <w:numId w:val="2"/>
        </w:numPr>
        <w:tabs>
          <w:tab w:val="num" w:pos="-1820"/>
        </w:tabs>
        <w:ind w:left="360"/>
        <w:rPr>
          <w:rFonts w:ascii="Arial" w:hAnsi="Arial" w:cs="Arial"/>
          <w:sz w:val="20"/>
          <w:szCs w:val="20"/>
        </w:rPr>
      </w:pPr>
      <w:r>
        <w:rPr>
          <w:rFonts w:ascii="Arial" w:hAnsi="Arial" w:cs="Arial"/>
          <w:sz w:val="20"/>
          <w:szCs w:val="20"/>
        </w:rPr>
        <w:t>P</w:t>
      </w:r>
      <w:r w:rsidR="00494615">
        <w:rPr>
          <w:rFonts w:ascii="Arial" w:hAnsi="Arial" w:cs="Arial"/>
          <w:sz w:val="20"/>
          <w:szCs w:val="20"/>
        </w:rPr>
        <w:t xml:space="preserve">articipated in the NC PUC hearings concerning the 336 NPA.  </w:t>
      </w:r>
    </w:p>
    <w:p w:rsidR="00494615" w:rsidRDefault="00494615" w:rsidP="002239F4">
      <w:pPr>
        <w:numPr>
          <w:ilvl w:val="0"/>
          <w:numId w:val="2"/>
        </w:numPr>
        <w:tabs>
          <w:tab w:val="num" w:pos="-1820"/>
        </w:tabs>
        <w:ind w:left="360"/>
        <w:rPr>
          <w:rFonts w:ascii="Arial" w:hAnsi="Arial" w:cs="Arial"/>
          <w:sz w:val="20"/>
          <w:szCs w:val="20"/>
        </w:rPr>
      </w:pPr>
      <w:r>
        <w:rPr>
          <w:rFonts w:ascii="Arial" w:hAnsi="Arial" w:cs="Arial"/>
          <w:sz w:val="20"/>
          <w:szCs w:val="20"/>
        </w:rPr>
        <w:t>Participated in the FL PSC hearing regarding the extension of the 786 NPA over the Keys rate center.</w:t>
      </w:r>
    </w:p>
    <w:p w:rsidR="00494615" w:rsidRDefault="00494615" w:rsidP="002239F4">
      <w:pPr>
        <w:numPr>
          <w:ilvl w:val="0"/>
          <w:numId w:val="2"/>
        </w:numPr>
        <w:tabs>
          <w:tab w:val="num" w:pos="-1820"/>
        </w:tabs>
        <w:ind w:left="360"/>
        <w:rPr>
          <w:rFonts w:ascii="Arial" w:hAnsi="Arial" w:cs="Arial"/>
          <w:sz w:val="20"/>
          <w:szCs w:val="20"/>
        </w:rPr>
      </w:pPr>
      <w:r>
        <w:rPr>
          <w:rFonts w:ascii="Arial" w:hAnsi="Arial" w:cs="Arial"/>
          <w:sz w:val="20"/>
          <w:szCs w:val="20"/>
        </w:rPr>
        <w:t xml:space="preserve">Provided IURC and IOUCC staff </w:t>
      </w:r>
      <w:r w:rsidR="003E4BF4">
        <w:rPr>
          <w:rFonts w:ascii="Arial" w:hAnsi="Arial" w:cs="Arial"/>
          <w:sz w:val="20"/>
          <w:szCs w:val="20"/>
        </w:rPr>
        <w:t>a</w:t>
      </w:r>
      <w:r>
        <w:rPr>
          <w:rFonts w:ascii="Arial" w:hAnsi="Arial" w:cs="Arial"/>
          <w:sz w:val="20"/>
          <w:szCs w:val="20"/>
        </w:rPr>
        <w:t xml:space="preserve"> copy of the IN 317 NPA relief petition that was filed 7/11/14.</w:t>
      </w:r>
    </w:p>
    <w:p w:rsidR="00494615" w:rsidRDefault="00494615" w:rsidP="002239F4">
      <w:pPr>
        <w:numPr>
          <w:ilvl w:val="0"/>
          <w:numId w:val="2"/>
        </w:numPr>
        <w:tabs>
          <w:tab w:val="num" w:pos="-1820"/>
        </w:tabs>
        <w:ind w:left="360"/>
        <w:rPr>
          <w:rFonts w:ascii="Arial" w:hAnsi="Arial" w:cs="Arial"/>
          <w:sz w:val="20"/>
          <w:szCs w:val="20"/>
        </w:rPr>
      </w:pPr>
      <w:r>
        <w:rPr>
          <w:rFonts w:ascii="Arial" w:hAnsi="Arial" w:cs="Arial"/>
          <w:sz w:val="20"/>
          <w:szCs w:val="20"/>
        </w:rPr>
        <w:t>NNS noticed has been posted concerning the FL PSC order for expanding the 786 NPA over the 305 NPA.</w:t>
      </w:r>
    </w:p>
    <w:p w:rsidR="00494615" w:rsidRDefault="00494615" w:rsidP="002239F4">
      <w:pPr>
        <w:numPr>
          <w:ilvl w:val="0"/>
          <w:numId w:val="2"/>
        </w:numPr>
        <w:tabs>
          <w:tab w:val="num" w:pos="-1820"/>
        </w:tabs>
        <w:ind w:left="360"/>
        <w:rPr>
          <w:rFonts w:ascii="Arial" w:hAnsi="Arial" w:cs="Arial"/>
          <w:sz w:val="20"/>
          <w:szCs w:val="20"/>
        </w:rPr>
      </w:pPr>
      <w:r>
        <w:rPr>
          <w:rFonts w:ascii="Arial" w:hAnsi="Arial" w:cs="Arial"/>
          <w:sz w:val="20"/>
          <w:szCs w:val="20"/>
        </w:rPr>
        <w:t>NY PSC issued notice of NY 631 public statement hearings scheduled for 7/15 and 7/16</w:t>
      </w:r>
      <w:r w:rsidR="00BC616E">
        <w:rPr>
          <w:rFonts w:ascii="Arial" w:hAnsi="Arial" w:cs="Arial"/>
          <w:sz w:val="20"/>
          <w:szCs w:val="20"/>
        </w:rPr>
        <w:t>.  The NY PSC also issued a notice seeing comments on petition for approval of 631 NPA relief plan.</w:t>
      </w:r>
    </w:p>
    <w:p w:rsidR="00BC616E" w:rsidRDefault="00BC616E" w:rsidP="002239F4">
      <w:pPr>
        <w:numPr>
          <w:ilvl w:val="0"/>
          <w:numId w:val="2"/>
        </w:numPr>
        <w:tabs>
          <w:tab w:val="num" w:pos="-1820"/>
        </w:tabs>
        <w:ind w:left="360"/>
        <w:rPr>
          <w:rFonts w:ascii="Arial" w:hAnsi="Arial" w:cs="Arial"/>
          <w:sz w:val="20"/>
          <w:szCs w:val="20"/>
        </w:rPr>
      </w:pPr>
      <w:r>
        <w:rPr>
          <w:rFonts w:ascii="Arial" w:hAnsi="Arial" w:cs="Arial"/>
          <w:sz w:val="20"/>
          <w:szCs w:val="20"/>
        </w:rPr>
        <w:t>NY PSC has filed a white paper on NY 631 NPA Relief (Case Number 14-C-0182)</w:t>
      </w:r>
    </w:p>
    <w:p w:rsidR="00F62C1C" w:rsidRDefault="00F62C1C" w:rsidP="00F62C1C">
      <w:pPr>
        <w:ind w:left="360"/>
        <w:rPr>
          <w:rFonts w:ascii="Arial" w:hAnsi="Arial" w:cs="Arial"/>
          <w:sz w:val="20"/>
          <w:szCs w:val="20"/>
        </w:rPr>
      </w:pPr>
    </w:p>
    <w:p w:rsidR="00F62C1C" w:rsidRDefault="00F62C1C" w:rsidP="00F62C1C">
      <w:pPr>
        <w:rPr>
          <w:rFonts w:ascii="Arial" w:hAnsi="Arial" w:cs="Arial"/>
          <w:sz w:val="20"/>
          <w:szCs w:val="20"/>
        </w:rPr>
      </w:pPr>
      <w:r>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467790506"/>
    <w:bookmarkEnd w:id="9"/>
    <w:p w:rsidR="006B45F5" w:rsidRPr="00DE2705" w:rsidRDefault="00BC616E" w:rsidP="006B45F5">
      <w:pPr>
        <w:rPr>
          <w:rFonts w:ascii="Arial" w:hAnsi="Arial" w:cs="Arial"/>
          <w:sz w:val="20"/>
          <w:szCs w:val="20"/>
        </w:rPr>
      </w:pPr>
      <w:r>
        <w:rPr>
          <w:rFonts w:ascii="Arial" w:hAnsi="Arial" w:cs="Arial"/>
          <w:sz w:val="20"/>
          <w:szCs w:val="20"/>
        </w:rPr>
        <w:object w:dxaOrig="1551" w:dyaOrig="1004">
          <v:shape id="_x0000_i1027" type="#_x0000_t75" style="width:77.45pt;height:50.25pt" o:ole="">
            <v:imagedata r:id="rId12" o:title=""/>
          </v:shape>
          <o:OLEObject Type="Embed" ProgID="Word.Document.8" ShapeID="_x0000_i1027" DrawAspect="Icon" ObjectID="_1470565719" r:id="rId13">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lastRenderedPageBreak/>
        <w:t>I</w:t>
      </w:r>
      <w:r w:rsidR="007F4B46" w:rsidRPr="00715B09">
        <w:rPr>
          <w:rFonts w:ascii="Arial" w:hAnsi="Arial" w:cs="Arial"/>
          <w:sz w:val="20"/>
          <w:szCs w:val="20"/>
          <w:u w:val="single"/>
        </w:rPr>
        <w:t>NC Activities</w:t>
      </w:r>
      <w:bookmarkEnd w:id="10"/>
    </w:p>
    <w:p w:rsidR="00F62C1C" w:rsidRPr="00DB5D1C" w:rsidRDefault="00913296" w:rsidP="00F62C1C">
      <w:pPr>
        <w:rPr>
          <w:rFonts w:ascii="Arial" w:hAnsi="Arial" w:cs="Arial"/>
          <w:sz w:val="20"/>
          <w:szCs w:val="20"/>
        </w:rPr>
      </w:pPr>
      <w:r w:rsidRPr="00DB5D1C">
        <w:rPr>
          <w:rFonts w:ascii="Arial" w:hAnsi="Arial" w:cs="Arial"/>
          <w:sz w:val="20"/>
          <w:szCs w:val="20"/>
        </w:rPr>
        <w:t xml:space="preserve">NANPA has submitted a few new issues for </w:t>
      </w:r>
      <w:r>
        <w:rPr>
          <w:rFonts w:ascii="Arial" w:hAnsi="Arial" w:cs="Arial"/>
          <w:sz w:val="20"/>
          <w:szCs w:val="20"/>
        </w:rPr>
        <w:t>consideration</w:t>
      </w:r>
      <w:r w:rsidRPr="00DB5D1C">
        <w:rPr>
          <w:rFonts w:ascii="Arial" w:hAnsi="Arial" w:cs="Arial"/>
          <w:sz w:val="20"/>
          <w:szCs w:val="20"/>
        </w:rPr>
        <w:t xml:space="preserve"> at the upcoming INC meeting scheduled for 7/29-31/14.</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AB3E34" w:rsidRDefault="00EB42D8" w:rsidP="00AB3E34">
      <w:pPr>
        <w:pStyle w:val="Heading1"/>
        <w:numPr>
          <w:ilvl w:val="0"/>
          <w:numId w:val="10"/>
        </w:numPr>
        <w:spacing w:before="0" w:after="0"/>
        <w:rPr>
          <w:rFonts w:ascii="Arial" w:hAnsi="Arial" w:cs="Arial"/>
          <w:b w:val="0"/>
          <w:bCs w:val="0"/>
          <w:kern w:val="0"/>
          <w:sz w:val="20"/>
          <w:szCs w:val="20"/>
        </w:rPr>
      </w:pPr>
      <w:bookmarkStart w:id="12" w:name="_Toc320540191"/>
      <w:r w:rsidRPr="00EE43B4">
        <w:rPr>
          <w:rFonts w:ascii="Arial" w:hAnsi="Arial" w:cs="Arial"/>
          <w:b w:val="0"/>
          <w:bCs w:val="0"/>
          <w:kern w:val="0"/>
          <w:sz w:val="20"/>
          <w:szCs w:val="20"/>
        </w:rPr>
        <w:t xml:space="preserve">NANPA responded to </w:t>
      </w:r>
      <w:r w:rsidR="00F62C1C">
        <w:rPr>
          <w:rFonts w:ascii="Arial" w:hAnsi="Arial" w:cs="Arial"/>
          <w:b w:val="0"/>
          <w:bCs w:val="0"/>
          <w:kern w:val="0"/>
          <w:sz w:val="20"/>
          <w:szCs w:val="20"/>
        </w:rPr>
        <w:t>1</w:t>
      </w:r>
      <w:r w:rsidR="00BC616E">
        <w:rPr>
          <w:rFonts w:ascii="Arial" w:hAnsi="Arial" w:cs="Arial"/>
          <w:b w:val="0"/>
          <w:bCs w:val="0"/>
          <w:kern w:val="0"/>
          <w:sz w:val="20"/>
          <w:szCs w:val="20"/>
        </w:rPr>
        <w:t>5</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BC616E">
        <w:rPr>
          <w:rFonts w:ascii="Arial" w:hAnsi="Arial" w:cs="Arial"/>
          <w:b w:val="0"/>
          <w:bCs w:val="0"/>
          <w:kern w:val="0"/>
          <w:sz w:val="20"/>
          <w:szCs w:val="20"/>
        </w:rPr>
        <w:t>6</w:t>
      </w:r>
      <w:r w:rsidR="003245E5">
        <w:rPr>
          <w:rFonts w:ascii="Arial" w:hAnsi="Arial" w:cs="Arial"/>
          <w:b w:val="0"/>
          <w:bCs w:val="0"/>
          <w:kern w:val="0"/>
          <w:sz w:val="20"/>
          <w:szCs w:val="20"/>
        </w:rPr>
        <w:t>/1/14</w:t>
      </w:r>
      <w:r w:rsidRPr="00EE43B4">
        <w:rPr>
          <w:rFonts w:ascii="Arial" w:hAnsi="Arial" w:cs="Arial"/>
          <w:b w:val="0"/>
          <w:bCs w:val="0"/>
          <w:kern w:val="0"/>
          <w:sz w:val="20"/>
          <w:szCs w:val="20"/>
        </w:rPr>
        <w:t xml:space="preserve"> through</w:t>
      </w:r>
      <w:r w:rsidR="00F62C1C">
        <w:rPr>
          <w:rFonts w:ascii="Arial" w:hAnsi="Arial" w:cs="Arial"/>
          <w:b w:val="0"/>
          <w:bCs w:val="0"/>
          <w:kern w:val="0"/>
          <w:sz w:val="20"/>
          <w:szCs w:val="20"/>
        </w:rPr>
        <w:t xml:space="preserve"> </w:t>
      </w:r>
      <w:r w:rsidR="00BC616E">
        <w:rPr>
          <w:rFonts w:ascii="Arial" w:hAnsi="Arial" w:cs="Arial"/>
          <w:b w:val="0"/>
          <w:bCs w:val="0"/>
          <w:kern w:val="0"/>
          <w:sz w:val="20"/>
          <w:szCs w:val="20"/>
        </w:rPr>
        <w:t>6/30</w:t>
      </w:r>
      <w:r w:rsidR="003245E5">
        <w:rPr>
          <w:rFonts w:ascii="Arial" w:hAnsi="Arial" w:cs="Arial"/>
          <w:b w:val="0"/>
          <w:bCs w:val="0"/>
          <w:kern w:val="0"/>
          <w:sz w:val="20"/>
          <w:szCs w:val="20"/>
        </w:rPr>
        <w:t>/14</w:t>
      </w:r>
      <w:r w:rsidR="00BC616E">
        <w:rPr>
          <w:rFonts w:ascii="Arial" w:hAnsi="Arial" w:cs="Arial"/>
          <w:b w:val="0"/>
          <w:bCs w:val="0"/>
          <w:kern w:val="0"/>
          <w:sz w:val="20"/>
          <w:szCs w:val="20"/>
        </w:rPr>
        <w:t>.  For the 1H14, the NANPA responded to 95 feedback emails.</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7F4B46" w:rsidP="00F81DF8">
      <w:pPr>
        <w:rPr>
          <w:rFonts w:ascii="Arial" w:hAnsi="Arial" w:cs="Arial"/>
          <w:sz w:val="20"/>
          <w:szCs w:val="20"/>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8F31DF" w:rsidRPr="002B7A9B" w:rsidRDefault="003E4BF4" w:rsidP="008F31DF">
      <w:pPr>
        <w:pStyle w:val="ListParagraph"/>
        <w:numPr>
          <w:ilvl w:val="0"/>
          <w:numId w:val="26"/>
        </w:numPr>
        <w:rPr>
          <w:rFonts w:ascii="Arial" w:hAnsi="Arial" w:cs="Arial"/>
          <w:b/>
          <w:sz w:val="20"/>
          <w:szCs w:val="20"/>
          <w:u w:val="single"/>
        </w:rPr>
      </w:pPr>
      <w:r>
        <w:rPr>
          <w:rFonts w:ascii="Arial" w:hAnsi="Arial" w:cs="Arial"/>
          <w:sz w:val="20"/>
          <w:szCs w:val="20"/>
        </w:rPr>
        <w:t>The NNS notification about the NANPA newsletter</w:t>
      </w:r>
      <w:r w:rsidR="008B0DFD">
        <w:rPr>
          <w:rFonts w:ascii="Arial" w:hAnsi="Arial" w:cs="Arial"/>
          <w:sz w:val="20"/>
          <w:szCs w:val="20"/>
        </w:rPr>
        <w:t xml:space="preserve"> was resent on 7/12</w:t>
      </w:r>
      <w:r w:rsidR="00913296">
        <w:rPr>
          <w:rFonts w:ascii="Arial" w:hAnsi="Arial" w:cs="Arial"/>
          <w:sz w:val="20"/>
          <w:szCs w:val="20"/>
        </w:rPr>
        <w:t>/14</w:t>
      </w:r>
      <w:r w:rsidR="008B0DFD">
        <w:rPr>
          <w:rFonts w:ascii="Arial" w:hAnsi="Arial" w:cs="Arial"/>
          <w:sz w:val="20"/>
          <w:szCs w:val="20"/>
        </w:rPr>
        <w:t xml:space="preserve"> due to some possible issues with the original NNS notification sent on 7/9</w:t>
      </w:r>
      <w:r w:rsidR="00913296">
        <w:rPr>
          <w:rFonts w:ascii="Arial" w:hAnsi="Arial" w:cs="Arial"/>
          <w:sz w:val="20"/>
          <w:szCs w:val="20"/>
        </w:rPr>
        <w:t>/14</w:t>
      </w:r>
      <w:r>
        <w:rPr>
          <w:rFonts w:ascii="Arial" w:hAnsi="Arial" w:cs="Arial"/>
          <w:sz w:val="20"/>
          <w:szCs w:val="20"/>
        </w:rPr>
        <w:t>.</w:t>
      </w:r>
    </w:p>
    <w:p w:rsidR="00A420AD" w:rsidRDefault="00A420AD" w:rsidP="002B7A9B">
      <w:pPr>
        <w:pStyle w:val="ListParagraph"/>
        <w:ind w:left="36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BC616E" w:rsidP="007C1559">
      <w:pPr>
        <w:numPr>
          <w:ilvl w:val="0"/>
          <w:numId w:val="8"/>
        </w:numPr>
        <w:rPr>
          <w:rFonts w:ascii="Arial" w:hAnsi="Arial" w:cs="Arial"/>
          <w:sz w:val="20"/>
          <w:szCs w:val="20"/>
        </w:rPr>
      </w:pPr>
      <w:r>
        <w:rPr>
          <w:rFonts w:ascii="Arial" w:hAnsi="Arial" w:cs="Arial"/>
          <w:sz w:val="20"/>
          <w:szCs w:val="20"/>
        </w:rPr>
        <w:t>August 19</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B2" w:rsidRDefault="00B56CB2" w:rsidP="00CF3D52">
      <w:r>
        <w:separator/>
      </w:r>
    </w:p>
  </w:endnote>
  <w:endnote w:type="continuationSeparator" w:id="0">
    <w:p w:rsidR="00B56CB2" w:rsidRDefault="00B56CB2"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D11001">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D11001">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B2" w:rsidRDefault="00B56CB2" w:rsidP="00CF3D52">
      <w:r>
        <w:separator/>
      </w:r>
    </w:p>
  </w:footnote>
  <w:footnote w:type="continuationSeparator" w:id="0">
    <w:p w:rsidR="00B56CB2" w:rsidRDefault="00B56CB2"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55219C" w:rsidP="00CF3D52">
    <w:pPr>
      <w:jc w:val="center"/>
      <w:rPr>
        <w:rStyle w:val="Strong"/>
        <w:rFonts w:ascii="Arial" w:hAnsi="Arial" w:cs="Arial"/>
        <w:sz w:val="20"/>
        <w:szCs w:val="20"/>
      </w:rPr>
    </w:pPr>
    <w:r>
      <w:rPr>
        <w:rStyle w:val="Strong"/>
        <w:rFonts w:ascii="Arial" w:hAnsi="Arial" w:cs="Arial"/>
        <w:sz w:val="20"/>
        <w:szCs w:val="20"/>
      </w:rPr>
      <w:t>July 25</w:t>
    </w:r>
    <w:r w:rsidR="003C6615">
      <w:rPr>
        <w:rStyle w:val="Strong"/>
        <w:rFonts w:ascii="Arial" w:hAnsi="Arial" w:cs="Arial"/>
        <w:sz w:val="20"/>
        <w:szCs w:val="20"/>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8CF75D5"/>
    <w:multiLevelType w:val="hybridMultilevel"/>
    <w:tmpl w:val="7B86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6">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3424C"/>
    <w:multiLevelType w:val="hybridMultilevel"/>
    <w:tmpl w:val="CE9A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20">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4"/>
  </w:num>
  <w:num w:numId="4">
    <w:abstractNumId w:val="10"/>
  </w:num>
  <w:num w:numId="5">
    <w:abstractNumId w:val="8"/>
  </w:num>
  <w:num w:numId="6">
    <w:abstractNumId w:val="3"/>
  </w:num>
  <w:num w:numId="7">
    <w:abstractNumId w:val="25"/>
  </w:num>
  <w:num w:numId="8">
    <w:abstractNumId w:val="21"/>
  </w:num>
  <w:num w:numId="9">
    <w:abstractNumId w:val="22"/>
  </w:num>
  <w:num w:numId="10">
    <w:abstractNumId w:val="16"/>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9"/>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3"/>
  </w:num>
  <w:num w:numId="22">
    <w:abstractNumId w:val="0"/>
  </w:num>
  <w:num w:numId="23">
    <w:abstractNumId w:val="15"/>
  </w:num>
  <w:num w:numId="24">
    <w:abstractNumId w:val="7"/>
  </w:num>
  <w:num w:numId="25">
    <w:abstractNumId w:val="6"/>
  </w:num>
  <w:num w:numId="26">
    <w:abstractNumId w:val="24"/>
  </w:num>
  <w:num w:numId="27">
    <w:abstractNumId w:val="2"/>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4B5F"/>
    <w:rsid w:val="00025210"/>
    <w:rsid w:val="000264E5"/>
    <w:rsid w:val="00027AD1"/>
    <w:rsid w:val="0003034F"/>
    <w:rsid w:val="0003166A"/>
    <w:rsid w:val="0003270C"/>
    <w:rsid w:val="00032CC7"/>
    <w:rsid w:val="00032E19"/>
    <w:rsid w:val="00032E9A"/>
    <w:rsid w:val="0003442C"/>
    <w:rsid w:val="00035E62"/>
    <w:rsid w:val="00036B30"/>
    <w:rsid w:val="00037E68"/>
    <w:rsid w:val="000418A1"/>
    <w:rsid w:val="000426F4"/>
    <w:rsid w:val="00042717"/>
    <w:rsid w:val="00044BCE"/>
    <w:rsid w:val="00047BFB"/>
    <w:rsid w:val="0005076F"/>
    <w:rsid w:val="00051362"/>
    <w:rsid w:val="000514C6"/>
    <w:rsid w:val="00053880"/>
    <w:rsid w:val="00053EAE"/>
    <w:rsid w:val="00054047"/>
    <w:rsid w:val="000569B9"/>
    <w:rsid w:val="00056FD0"/>
    <w:rsid w:val="000609B1"/>
    <w:rsid w:val="000613D8"/>
    <w:rsid w:val="00065223"/>
    <w:rsid w:val="00067587"/>
    <w:rsid w:val="00067D16"/>
    <w:rsid w:val="0007146F"/>
    <w:rsid w:val="000715D4"/>
    <w:rsid w:val="00071EE2"/>
    <w:rsid w:val="000729F8"/>
    <w:rsid w:val="00073DA9"/>
    <w:rsid w:val="0007407B"/>
    <w:rsid w:val="00074E43"/>
    <w:rsid w:val="00075CAD"/>
    <w:rsid w:val="00076604"/>
    <w:rsid w:val="00076D53"/>
    <w:rsid w:val="00077533"/>
    <w:rsid w:val="00077B9D"/>
    <w:rsid w:val="00080451"/>
    <w:rsid w:val="00080E9C"/>
    <w:rsid w:val="0008122F"/>
    <w:rsid w:val="000816AC"/>
    <w:rsid w:val="000828FC"/>
    <w:rsid w:val="00083385"/>
    <w:rsid w:val="00083B3B"/>
    <w:rsid w:val="00085551"/>
    <w:rsid w:val="000866D8"/>
    <w:rsid w:val="00087CA6"/>
    <w:rsid w:val="00090982"/>
    <w:rsid w:val="00096E7E"/>
    <w:rsid w:val="00097861"/>
    <w:rsid w:val="000A2200"/>
    <w:rsid w:val="000A3B8C"/>
    <w:rsid w:val="000A42E5"/>
    <w:rsid w:val="000A6251"/>
    <w:rsid w:val="000A756A"/>
    <w:rsid w:val="000A7DBC"/>
    <w:rsid w:val="000B3AEC"/>
    <w:rsid w:val="000B632C"/>
    <w:rsid w:val="000B7341"/>
    <w:rsid w:val="000C032A"/>
    <w:rsid w:val="000C07C0"/>
    <w:rsid w:val="000C2D24"/>
    <w:rsid w:val="000C3057"/>
    <w:rsid w:val="000C3D58"/>
    <w:rsid w:val="000C59EB"/>
    <w:rsid w:val="000D0CB2"/>
    <w:rsid w:val="000D464F"/>
    <w:rsid w:val="000D4BDA"/>
    <w:rsid w:val="000D4E8E"/>
    <w:rsid w:val="000D5C11"/>
    <w:rsid w:val="000D5FEF"/>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3F9D"/>
    <w:rsid w:val="00154017"/>
    <w:rsid w:val="00155FCD"/>
    <w:rsid w:val="00161716"/>
    <w:rsid w:val="00161B02"/>
    <w:rsid w:val="00164024"/>
    <w:rsid w:val="001661D1"/>
    <w:rsid w:val="001674E7"/>
    <w:rsid w:val="0017200E"/>
    <w:rsid w:val="001738E7"/>
    <w:rsid w:val="00173BB0"/>
    <w:rsid w:val="00174014"/>
    <w:rsid w:val="00176CEA"/>
    <w:rsid w:val="00180FEF"/>
    <w:rsid w:val="00183DB9"/>
    <w:rsid w:val="00183DD9"/>
    <w:rsid w:val="00186123"/>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2072"/>
    <w:rsid w:val="001B3278"/>
    <w:rsid w:val="001C2BCC"/>
    <w:rsid w:val="001C3935"/>
    <w:rsid w:val="001C405C"/>
    <w:rsid w:val="001C5DDC"/>
    <w:rsid w:val="001C7A0B"/>
    <w:rsid w:val="001C7A18"/>
    <w:rsid w:val="001D0E61"/>
    <w:rsid w:val="001D26C6"/>
    <w:rsid w:val="001D27B2"/>
    <w:rsid w:val="001D2B8C"/>
    <w:rsid w:val="001D3BD5"/>
    <w:rsid w:val="001D6DA1"/>
    <w:rsid w:val="001D7206"/>
    <w:rsid w:val="001D72EE"/>
    <w:rsid w:val="001D7932"/>
    <w:rsid w:val="001E09B4"/>
    <w:rsid w:val="001E1420"/>
    <w:rsid w:val="001E1C80"/>
    <w:rsid w:val="001E525E"/>
    <w:rsid w:val="001E597C"/>
    <w:rsid w:val="001E73A8"/>
    <w:rsid w:val="001E7927"/>
    <w:rsid w:val="001F05F8"/>
    <w:rsid w:val="001F290B"/>
    <w:rsid w:val="001F3870"/>
    <w:rsid w:val="001F407C"/>
    <w:rsid w:val="001F40B3"/>
    <w:rsid w:val="002013B0"/>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81D4B"/>
    <w:rsid w:val="00290E77"/>
    <w:rsid w:val="00296251"/>
    <w:rsid w:val="002963F4"/>
    <w:rsid w:val="002964C1"/>
    <w:rsid w:val="0029747C"/>
    <w:rsid w:val="002A34A6"/>
    <w:rsid w:val="002A4020"/>
    <w:rsid w:val="002A688B"/>
    <w:rsid w:val="002B1548"/>
    <w:rsid w:val="002B192D"/>
    <w:rsid w:val="002B24FD"/>
    <w:rsid w:val="002B3B11"/>
    <w:rsid w:val="002B4425"/>
    <w:rsid w:val="002B5E89"/>
    <w:rsid w:val="002B7A9B"/>
    <w:rsid w:val="002C154C"/>
    <w:rsid w:val="002C1BF0"/>
    <w:rsid w:val="002C262C"/>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116A"/>
    <w:rsid w:val="0030147C"/>
    <w:rsid w:val="0030393E"/>
    <w:rsid w:val="00303FD1"/>
    <w:rsid w:val="00304043"/>
    <w:rsid w:val="0030441C"/>
    <w:rsid w:val="0030480B"/>
    <w:rsid w:val="00304BC2"/>
    <w:rsid w:val="00306474"/>
    <w:rsid w:val="00306B13"/>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45E5"/>
    <w:rsid w:val="00327B0F"/>
    <w:rsid w:val="00330A2A"/>
    <w:rsid w:val="0033350B"/>
    <w:rsid w:val="003376DE"/>
    <w:rsid w:val="00337845"/>
    <w:rsid w:val="00341AF9"/>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2F7"/>
    <w:rsid w:val="00392E6D"/>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79F4"/>
    <w:rsid w:val="00440040"/>
    <w:rsid w:val="00441350"/>
    <w:rsid w:val="004416AA"/>
    <w:rsid w:val="00441B22"/>
    <w:rsid w:val="00443190"/>
    <w:rsid w:val="00443506"/>
    <w:rsid w:val="00444335"/>
    <w:rsid w:val="00447444"/>
    <w:rsid w:val="00447867"/>
    <w:rsid w:val="00450544"/>
    <w:rsid w:val="0045163A"/>
    <w:rsid w:val="00451B0C"/>
    <w:rsid w:val="004536F0"/>
    <w:rsid w:val="004556A9"/>
    <w:rsid w:val="00460578"/>
    <w:rsid w:val="004642E2"/>
    <w:rsid w:val="00464921"/>
    <w:rsid w:val="00464CBC"/>
    <w:rsid w:val="004656D7"/>
    <w:rsid w:val="00465D65"/>
    <w:rsid w:val="0047141E"/>
    <w:rsid w:val="004717AA"/>
    <w:rsid w:val="00471A4D"/>
    <w:rsid w:val="00471B0E"/>
    <w:rsid w:val="00475F79"/>
    <w:rsid w:val="00477F67"/>
    <w:rsid w:val="00481996"/>
    <w:rsid w:val="004844EA"/>
    <w:rsid w:val="0048675D"/>
    <w:rsid w:val="00487853"/>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273"/>
    <w:rsid w:val="004B64C2"/>
    <w:rsid w:val="004B6E48"/>
    <w:rsid w:val="004B7A50"/>
    <w:rsid w:val="004C0688"/>
    <w:rsid w:val="004C0CAC"/>
    <w:rsid w:val="004C15BD"/>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17751"/>
    <w:rsid w:val="005201E2"/>
    <w:rsid w:val="00520958"/>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73BA"/>
    <w:rsid w:val="005619C4"/>
    <w:rsid w:val="00564D97"/>
    <w:rsid w:val="00564FEF"/>
    <w:rsid w:val="0056716A"/>
    <w:rsid w:val="005721AA"/>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67E6"/>
    <w:rsid w:val="005A6B50"/>
    <w:rsid w:val="005A6EEF"/>
    <w:rsid w:val="005B0CDE"/>
    <w:rsid w:val="005B2569"/>
    <w:rsid w:val="005C0211"/>
    <w:rsid w:val="005C1C9D"/>
    <w:rsid w:val="005C3032"/>
    <w:rsid w:val="005C3D21"/>
    <w:rsid w:val="005C52C8"/>
    <w:rsid w:val="005C6E14"/>
    <w:rsid w:val="005C75C6"/>
    <w:rsid w:val="005D0AB1"/>
    <w:rsid w:val="005D2B1C"/>
    <w:rsid w:val="005D4949"/>
    <w:rsid w:val="005D546C"/>
    <w:rsid w:val="005E058D"/>
    <w:rsid w:val="005E2BCE"/>
    <w:rsid w:val="005E4753"/>
    <w:rsid w:val="005E5152"/>
    <w:rsid w:val="005E5A4C"/>
    <w:rsid w:val="005F3A3B"/>
    <w:rsid w:val="005F3FA2"/>
    <w:rsid w:val="005F405F"/>
    <w:rsid w:val="005F45C5"/>
    <w:rsid w:val="005F5A79"/>
    <w:rsid w:val="005F5B49"/>
    <w:rsid w:val="005F5B89"/>
    <w:rsid w:val="005F7E5F"/>
    <w:rsid w:val="00600729"/>
    <w:rsid w:val="00602C2C"/>
    <w:rsid w:val="006034A0"/>
    <w:rsid w:val="00604D91"/>
    <w:rsid w:val="00605BCD"/>
    <w:rsid w:val="006066DC"/>
    <w:rsid w:val="0060717A"/>
    <w:rsid w:val="00610154"/>
    <w:rsid w:val="00610B0E"/>
    <w:rsid w:val="00611AA3"/>
    <w:rsid w:val="0061654A"/>
    <w:rsid w:val="00616F46"/>
    <w:rsid w:val="006206BA"/>
    <w:rsid w:val="0062079C"/>
    <w:rsid w:val="00621901"/>
    <w:rsid w:val="006305EF"/>
    <w:rsid w:val="00630FE5"/>
    <w:rsid w:val="00631A20"/>
    <w:rsid w:val="006321E7"/>
    <w:rsid w:val="006353EF"/>
    <w:rsid w:val="00635C97"/>
    <w:rsid w:val="00636149"/>
    <w:rsid w:val="00640DBB"/>
    <w:rsid w:val="0064174B"/>
    <w:rsid w:val="00641C07"/>
    <w:rsid w:val="0064515E"/>
    <w:rsid w:val="00645530"/>
    <w:rsid w:val="00645897"/>
    <w:rsid w:val="00651339"/>
    <w:rsid w:val="00651F31"/>
    <w:rsid w:val="006528A5"/>
    <w:rsid w:val="006528E0"/>
    <w:rsid w:val="00656EC7"/>
    <w:rsid w:val="006574B8"/>
    <w:rsid w:val="00666463"/>
    <w:rsid w:val="00666547"/>
    <w:rsid w:val="006669C6"/>
    <w:rsid w:val="00671792"/>
    <w:rsid w:val="00671FA9"/>
    <w:rsid w:val="00672DC1"/>
    <w:rsid w:val="0067324C"/>
    <w:rsid w:val="0067335F"/>
    <w:rsid w:val="00680629"/>
    <w:rsid w:val="006814A3"/>
    <w:rsid w:val="0068276C"/>
    <w:rsid w:val="00684842"/>
    <w:rsid w:val="00690F79"/>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7622"/>
    <w:rsid w:val="006B7DA9"/>
    <w:rsid w:val="006C039C"/>
    <w:rsid w:val="006C40F1"/>
    <w:rsid w:val="006C5FE2"/>
    <w:rsid w:val="006C64B4"/>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7DD7"/>
    <w:rsid w:val="00733AF6"/>
    <w:rsid w:val="00736647"/>
    <w:rsid w:val="0074052D"/>
    <w:rsid w:val="00741EE7"/>
    <w:rsid w:val="0074200A"/>
    <w:rsid w:val="00742E05"/>
    <w:rsid w:val="007436AE"/>
    <w:rsid w:val="007457D1"/>
    <w:rsid w:val="00751BB7"/>
    <w:rsid w:val="00752160"/>
    <w:rsid w:val="007550A8"/>
    <w:rsid w:val="00757C38"/>
    <w:rsid w:val="00757F5D"/>
    <w:rsid w:val="00762D2B"/>
    <w:rsid w:val="007643C1"/>
    <w:rsid w:val="007645DA"/>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1D9"/>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34A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E0D8E"/>
    <w:rsid w:val="007E15C2"/>
    <w:rsid w:val="007E42B2"/>
    <w:rsid w:val="007E5893"/>
    <w:rsid w:val="007E68B2"/>
    <w:rsid w:val="007F00E5"/>
    <w:rsid w:val="007F1137"/>
    <w:rsid w:val="007F1DBE"/>
    <w:rsid w:val="007F1E8F"/>
    <w:rsid w:val="007F3142"/>
    <w:rsid w:val="007F329D"/>
    <w:rsid w:val="007F4B46"/>
    <w:rsid w:val="007F4B96"/>
    <w:rsid w:val="007F5F00"/>
    <w:rsid w:val="007F7EDB"/>
    <w:rsid w:val="008012F1"/>
    <w:rsid w:val="00801A18"/>
    <w:rsid w:val="00804B4C"/>
    <w:rsid w:val="00804F1C"/>
    <w:rsid w:val="008072F3"/>
    <w:rsid w:val="00810AB9"/>
    <w:rsid w:val="0081200F"/>
    <w:rsid w:val="00812847"/>
    <w:rsid w:val="00813D98"/>
    <w:rsid w:val="0081417F"/>
    <w:rsid w:val="0081469B"/>
    <w:rsid w:val="008158EA"/>
    <w:rsid w:val="008170B0"/>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526EC"/>
    <w:rsid w:val="0085347B"/>
    <w:rsid w:val="008535DC"/>
    <w:rsid w:val="00853709"/>
    <w:rsid w:val="00853B36"/>
    <w:rsid w:val="00854377"/>
    <w:rsid w:val="00861010"/>
    <w:rsid w:val="00861FF4"/>
    <w:rsid w:val="00864CFE"/>
    <w:rsid w:val="00867EB0"/>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396C"/>
    <w:rsid w:val="00894419"/>
    <w:rsid w:val="0089570F"/>
    <w:rsid w:val="00895E82"/>
    <w:rsid w:val="008973A9"/>
    <w:rsid w:val="00897414"/>
    <w:rsid w:val="008A0ADE"/>
    <w:rsid w:val="008A0D30"/>
    <w:rsid w:val="008A28AA"/>
    <w:rsid w:val="008A2C47"/>
    <w:rsid w:val="008A4466"/>
    <w:rsid w:val="008A56F6"/>
    <w:rsid w:val="008A58BE"/>
    <w:rsid w:val="008B0DFD"/>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650E"/>
    <w:rsid w:val="00921CE6"/>
    <w:rsid w:val="0092248B"/>
    <w:rsid w:val="00923DCE"/>
    <w:rsid w:val="00923FD5"/>
    <w:rsid w:val="00924B2E"/>
    <w:rsid w:val="00926527"/>
    <w:rsid w:val="00933DC1"/>
    <w:rsid w:val="00934388"/>
    <w:rsid w:val="009343B9"/>
    <w:rsid w:val="00934E8C"/>
    <w:rsid w:val="00934FB6"/>
    <w:rsid w:val="00935052"/>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42B"/>
    <w:rsid w:val="00963DFB"/>
    <w:rsid w:val="009654EE"/>
    <w:rsid w:val="0096708B"/>
    <w:rsid w:val="009673DD"/>
    <w:rsid w:val="0096768F"/>
    <w:rsid w:val="009713E7"/>
    <w:rsid w:val="009728A3"/>
    <w:rsid w:val="009736AE"/>
    <w:rsid w:val="00974CB3"/>
    <w:rsid w:val="009750D1"/>
    <w:rsid w:val="00977222"/>
    <w:rsid w:val="00977B97"/>
    <w:rsid w:val="00980C91"/>
    <w:rsid w:val="009813F4"/>
    <w:rsid w:val="00982471"/>
    <w:rsid w:val="009847CE"/>
    <w:rsid w:val="00985C9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2F3"/>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22D0C"/>
    <w:rsid w:val="00A23AA1"/>
    <w:rsid w:val="00A30348"/>
    <w:rsid w:val="00A30694"/>
    <w:rsid w:val="00A31F20"/>
    <w:rsid w:val="00A34BD5"/>
    <w:rsid w:val="00A35274"/>
    <w:rsid w:val="00A35390"/>
    <w:rsid w:val="00A36981"/>
    <w:rsid w:val="00A373FB"/>
    <w:rsid w:val="00A40A7C"/>
    <w:rsid w:val="00A413E3"/>
    <w:rsid w:val="00A41A73"/>
    <w:rsid w:val="00A420AD"/>
    <w:rsid w:val="00A4219B"/>
    <w:rsid w:val="00A43989"/>
    <w:rsid w:val="00A44AEB"/>
    <w:rsid w:val="00A467EB"/>
    <w:rsid w:val="00A46A76"/>
    <w:rsid w:val="00A46BDC"/>
    <w:rsid w:val="00A516DC"/>
    <w:rsid w:val="00A5650B"/>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466A"/>
    <w:rsid w:val="00A96B98"/>
    <w:rsid w:val="00AA0387"/>
    <w:rsid w:val="00AA10B4"/>
    <w:rsid w:val="00AA24DA"/>
    <w:rsid w:val="00AA3D9E"/>
    <w:rsid w:val="00AA4F79"/>
    <w:rsid w:val="00AA6EFC"/>
    <w:rsid w:val="00AB3E34"/>
    <w:rsid w:val="00AB52A2"/>
    <w:rsid w:val="00AB5A3B"/>
    <w:rsid w:val="00AC16E9"/>
    <w:rsid w:val="00AC1858"/>
    <w:rsid w:val="00AC4430"/>
    <w:rsid w:val="00AC4CFB"/>
    <w:rsid w:val="00AC51FA"/>
    <w:rsid w:val="00AC6160"/>
    <w:rsid w:val="00AC7949"/>
    <w:rsid w:val="00AD265F"/>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4B65"/>
    <w:rsid w:val="00AF4CAB"/>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CB2"/>
    <w:rsid w:val="00B56FF2"/>
    <w:rsid w:val="00B57AF1"/>
    <w:rsid w:val="00B57B2A"/>
    <w:rsid w:val="00B60B1E"/>
    <w:rsid w:val="00B60CCC"/>
    <w:rsid w:val="00B643F4"/>
    <w:rsid w:val="00B67D93"/>
    <w:rsid w:val="00B71C1A"/>
    <w:rsid w:val="00B726AA"/>
    <w:rsid w:val="00B74F5A"/>
    <w:rsid w:val="00B76068"/>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7095"/>
    <w:rsid w:val="00BB0773"/>
    <w:rsid w:val="00BB08DD"/>
    <w:rsid w:val="00BB3441"/>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D01"/>
    <w:rsid w:val="00BF5E47"/>
    <w:rsid w:val="00C01CA9"/>
    <w:rsid w:val="00C021C7"/>
    <w:rsid w:val="00C037BB"/>
    <w:rsid w:val="00C05158"/>
    <w:rsid w:val="00C0536C"/>
    <w:rsid w:val="00C05B28"/>
    <w:rsid w:val="00C0652A"/>
    <w:rsid w:val="00C10523"/>
    <w:rsid w:val="00C11189"/>
    <w:rsid w:val="00C118C8"/>
    <w:rsid w:val="00C1358B"/>
    <w:rsid w:val="00C15AB3"/>
    <w:rsid w:val="00C15FA8"/>
    <w:rsid w:val="00C16067"/>
    <w:rsid w:val="00C24FCF"/>
    <w:rsid w:val="00C3228D"/>
    <w:rsid w:val="00C329D8"/>
    <w:rsid w:val="00C3709C"/>
    <w:rsid w:val="00C45F1A"/>
    <w:rsid w:val="00C474B5"/>
    <w:rsid w:val="00C47843"/>
    <w:rsid w:val="00C47AD8"/>
    <w:rsid w:val="00C50422"/>
    <w:rsid w:val="00C52E3F"/>
    <w:rsid w:val="00C53206"/>
    <w:rsid w:val="00C53817"/>
    <w:rsid w:val="00C53A7B"/>
    <w:rsid w:val="00C54B8B"/>
    <w:rsid w:val="00C573F9"/>
    <w:rsid w:val="00C57CF4"/>
    <w:rsid w:val="00C60805"/>
    <w:rsid w:val="00C64316"/>
    <w:rsid w:val="00C66319"/>
    <w:rsid w:val="00C67B29"/>
    <w:rsid w:val="00C70CA7"/>
    <w:rsid w:val="00C74E84"/>
    <w:rsid w:val="00C754EE"/>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3DC7"/>
    <w:rsid w:val="00CE40D6"/>
    <w:rsid w:val="00CE4181"/>
    <w:rsid w:val="00CE4C86"/>
    <w:rsid w:val="00CE4E65"/>
    <w:rsid w:val="00CE64EA"/>
    <w:rsid w:val="00CE66C6"/>
    <w:rsid w:val="00CE795A"/>
    <w:rsid w:val="00CF3D52"/>
    <w:rsid w:val="00CF48F4"/>
    <w:rsid w:val="00CF5471"/>
    <w:rsid w:val="00CF739A"/>
    <w:rsid w:val="00CF773C"/>
    <w:rsid w:val="00D01EB4"/>
    <w:rsid w:val="00D02D15"/>
    <w:rsid w:val="00D05846"/>
    <w:rsid w:val="00D05B38"/>
    <w:rsid w:val="00D1026D"/>
    <w:rsid w:val="00D11001"/>
    <w:rsid w:val="00D1128A"/>
    <w:rsid w:val="00D11465"/>
    <w:rsid w:val="00D1215C"/>
    <w:rsid w:val="00D1290E"/>
    <w:rsid w:val="00D12E56"/>
    <w:rsid w:val="00D12ED8"/>
    <w:rsid w:val="00D1445E"/>
    <w:rsid w:val="00D14694"/>
    <w:rsid w:val="00D16CF8"/>
    <w:rsid w:val="00D17638"/>
    <w:rsid w:val="00D21341"/>
    <w:rsid w:val="00D21ABA"/>
    <w:rsid w:val="00D24D4B"/>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60F9"/>
    <w:rsid w:val="00D50BCB"/>
    <w:rsid w:val="00D51580"/>
    <w:rsid w:val="00D52F01"/>
    <w:rsid w:val="00D53167"/>
    <w:rsid w:val="00D53F46"/>
    <w:rsid w:val="00D54627"/>
    <w:rsid w:val="00D556B5"/>
    <w:rsid w:val="00D55A85"/>
    <w:rsid w:val="00D55C5B"/>
    <w:rsid w:val="00D603B7"/>
    <w:rsid w:val="00D637F7"/>
    <w:rsid w:val="00D64EB4"/>
    <w:rsid w:val="00D65E38"/>
    <w:rsid w:val="00D72527"/>
    <w:rsid w:val="00D740C0"/>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3873"/>
    <w:rsid w:val="00DA4E11"/>
    <w:rsid w:val="00DA57B5"/>
    <w:rsid w:val="00DA5FE8"/>
    <w:rsid w:val="00DA6AEC"/>
    <w:rsid w:val="00DB1E70"/>
    <w:rsid w:val="00DB31C3"/>
    <w:rsid w:val="00DB3E8A"/>
    <w:rsid w:val="00DB5D1C"/>
    <w:rsid w:val="00DB72D5"/>
    <w:rsid w:val="00DC410B"/>
    <w:rsid w:val="00DC66AA"/>
    <w:rsid w:val="00DC68F4"/>
    <w:rsid w:val="00DC6E05"/>
    <w:rsid w:val="00DC7B0F"/>
    <w:rsid w:val="00DD1769"/>
    <w:rsid w:val="00DD48B2"/>
    <w:rsid w:val="00DE2705"/>
    <w:rsid w:val="00DE3ADB"/>
    <w:rsid w:val="00DE57EE"/>
    <w:rsid w:val="00DE6B0C"/>
    <w:rsid w:val="00DF0BDC"/>
    <w:rsid w:val="00DF16F0"/>
    <w:rsid w:val="00DF2657"/>
    <w:rsid w:val="00DF283A"/>
    <w:rsid w:val="00DF50E1"/>
    <w:rsid w:val="00DF6EE9"/>
    <w:rsid w:val="00DF7345"/>
    <w:rsid w:val="00DF7C4D"/>
    <w:rsid w:val="00E000B4"/>
    <w:rsid w:val="00E00484"/>
    <w:rsid w:val="00E00B75"/>
    <w:rsid w:val="00E055F9"/>
    <w:rsid w:val="00E07673"/>
    <w:rsid w:val="00E12DFF"/>
    <w:rsid w:val="00E141A9"/>
    <w:rsid w:val="00E1645B"/>
    <w:rsid w:val="00E168D1"/>
    <w:rsid w:val="00E1776E"/>
    <w:rsid w:val="00E17901"/>
    <w:rsid w:val="00E20D22"/>
    <w:rsid w:val="00E23C48"/>
    <w:rsid w:val="00E24A94"/>
    <w:rsid w:val="00E26D6C"/>
    <w:rsid w:val="00E27B23"/>
    <w:rsid w:val="00E30BEE"/>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710D"/>
    <w:rsid w:val="00E5720E"/>
    <w:rsid w:val="00E6044C"/>
    <w:rsid w:val="00E629EB"/>
    <w:rsid w:val="00E62B4B"/>
    <w:rsid w:val="00E6687E"/>
    <w:rsid w:val="00E70B02"/>
    <w:rsid w:val="00E720EE"/>
    <w:rsid w:val="00E7236E"/>
    <w:rsid w:val="00E72999"/>
    <w:rsid w:val="00E72C40"/>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45D7"/>
    <w:rsid w:val="00ED5668"/>
    <w:rsid w:val="00ED7E54"/>
    <w:rsid w:val="00EE0737"/>
    <w:rsid w:val="00EE25F8"/>
    <w:rsid w:val="00EE3CDC"/>
    <w:rsid w:val="00EE43B4"/>
    <w:rsid w:val="00EE4E93"/>
    <w:rsid w:val="00EE76B5"/>
    <w:rsid w:val="00EE7EE4"/>
    <w:rsid w:val="00EF3666"/>
    <w:rsid w:val="00EF63B7"/>
    <w:rsid w:val="00F02C6A"/>
    <w:rsid w:val="00F02E64"/>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2C1C"/>
    <w:rsid w:val="00F63101"/>
    <w:rsid w:val="00F6564F"/>
    <w:rsid w:val="00F66F99"/>
    <w:rsid w:val="00F71B52"/>
    <w:rsid w:val="00F72760"/>
    <w:rsid w:val="00F74C8A"/>
    <w:rsid w:val="00F81DF8"/>
    <w:rsid w:val="00F83192"/>
    <w:rsid w:val="00F831DB"/>
    <w:rsid w:val="00F83B26"/>
    <w:rsid w:val="00F860D6"/>
    <w:rsid w:val="00F86917"/>
    <w:rsid w:val="00F86E84"/>
    <w:rsid w:val="00F90CDB"/>
    <w:rsid w:val="00FA17CB"/>
    <w:rsid w:val="00FA19E3"/>
    <w:rsid w:val="00FA2BAA"/>
    <w:rsid w:val="00FA3405"/>
    <w:rsid w:val="00FA5C5F"/>
    <w:rsid w:val="00FA692E"/>
    <w:rsid w:val="00FB1AB8"/>
    <w:rsid w:val="00FB5DB6"/>
    <w:rsid w:val="00FC0C40"/>
    <w:rsid w:val="00FC0F63"/>
    <w:rsid w:val="00FD155B"/>
    <w:rsid w:val="00FD186A"/>
    <w:rsid w:val="00FD2730"/>
    <w:rsid w:val="00FD32F5"/>
    <w:rsid w:val="00FD36CB"/>
    <w:rsid w:val="00FD38A9"/>
    <w:rsid w:val="00FD4589"/>
    <w:rsid w:val="00FD4644"/>
    <w:rsid w:val="00FD60F4"/>
    <w:rsid w:val="00FD6ECC"/>
    <w:rsid w:val="00FE04EE"/>
    <w:rsid w:val="00FE3C9B"/>
    <w:rsid w:val="00FE471C"/>
    <w:rsid w:val="00FE5379"/>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10761</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2014-08-26T17:42:00Z</dcterms:created>
  <dcterms:modified xsi:type="dcterms:W3CDTF">2014-08-26T17:42:00Z</dcterms:modified>
</cp:coreProperties>
</file>