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A9069A">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A9069A">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A9069A">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A9069A">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A9069A">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A9069A">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A9069A">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A9069A">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A9069A">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7D54C8">
        <w:tc>
          <w:tcPr>
            <w:tcW w:w="4788" w:type="dxa"/>
            <w:shd w:val="clear" w:color="auto" w:fill="auto"/>
          </w:tcPr>
          <w:p w:rsidR="00810EF0" w:rsidRDefault="00810EF0" w:rsidP="000F7020">
            <w:pPr>
              <w:rPr>
                <w:rStyle w:val="Strong"/>
                <w:rFonts w:ascii="Arial" w:hAnsi="Arial" w:cs="Arial"/>
                <w:b w:val="0"/>
                <w:bCs w:val="0"/>
                <w:sz w:val="20"/>
                <w:szCs w:val="20"/>
              </w:rPr>
            </w:pPr>
            <w:r>
              <w:rPr>
                <w:rStyle w:val="Strong"/>
                <w:rFonts w:ascii="Arial" w:hAnsi="Arial" w:cs="Arial"/>
                <w:b w:val="0"/>
                <w:bCs w:val="0"/>
                <w:sz w:val="20"/>
                <w:szCs w:val="20"/>
              </w:rPr>
              <w:t>AT&amp;T – Linda Richardson</w:t>
            </w:r>
          </w:p>
          <w:p w:rsidR="00F950BB" w:rsidRDefault="00F950BB" w:rsidP="000F7020">
            <w:pPr>
              <w:rPr>
                <w:rStyle w:val="Strong"/>
                <w:rFonts w:ascii="Arial" w:hAnsi="Arial" w:cs="Arial"/>
                <w:b w:val="0"/>
                <w:bCs w:val="0"/>
                <w:sz w:val="20"/>
                <w:szCs w:val="20"/>
              </w:rPr>
            </w:pPr>
            <w:r>
              <w:rPr>
                <w:rStyle w:val="Strong"/>
                <w:rFonts w:ascii="Arial" w:hAnsi="Arial" w:cs="Arial"/>
                <w:b w:val="0"/>
                <w:bCs w:val="0"/>
                <w:sz w:val="20"/>
                <w:szCs w:val="20"/>
              </w:rPr>
              <w:t>CenturyLink – Jan Doell</w:t>
            </w:r>
          </w:p>
          <w:p w:rsidR="00810EF0" w:rsidRDefault="00810EF0" w:rsidP="000F7020">
            <w:pPr>
              <w:rPr>
                <w:rStyle w:val="Strong"/>
                <w:rFonts w:ascii="Arial" w:hAnsi="Arial" w:cs="Arial"/>
                <w:b w:val="0"/>
                <w:bCs w:val="0"/>
                <w:sz w:val="20"/>
                <w:szCs w:val="20"/>
              </w:rPr>
            </w:pPr>
            <w:r>
              <w:rPr>
                <w:rStyle w:val="Strong"/>
                <w:rFonts w:ascii="Arial" w:hAnsi="Arial" w:cs="Arial"/>
                <w:b w:val="0"/>
                <w:bCs w:val="0"/>
                <w:sz w:val="20"/>
                <w:szCs w:val="20"/>
              </w:rPr>
              <w:t>PA PUC – Chris Hepburn</w:t>
            </w:r>
          </w:p>
          <w:p w:rsidR="007E2037" w:rsidRDefault="007E2037" w:rsidP="000F7020">
            <w:pPr>
              <w:rPr>
                <w:rStyle w:val="Strong"/>
                <w:rFonts w:ascii="Arial" w:hAnsi="Arial" w:cs="Arial"/>
                <w:b w:val="0"/>
                <w:bCs w:val="0"/>
                <w:sz w:val="20"/>
                <w:szCs w:val="20"/>
              </w:rPr>
            </w:pPr>
            <w:r w:rsidRPr="000D7FF7">
              <w:rPr>
                <w:rStyle w:val="Strong"/>
                <w:rFonts w:ascii="Arial" w:hAnsi="Arial" w:cs="Arial"/>
                <w:b w:val="0"/>
                <w:bCs w:val="0"/>
                <w:sz w:val="20"/>
                <w:szCs w:val="20"/>
              </w:rPr>
              <w:t>Sprint – Shaunna Forshee</w:t>
            </w:r>
          </w:p>
          <w:p w:rsidR="00F950BB" w:rsidRPr="000D7FF7" w:rsidRDefault="00F950BB" w:rsidP="000F7020">
            <w:pPr>
              <w:rPr>
                <w:rStyle w:val="Strong"/>
                <w:rFonts w:ascii="Arial" w:hAnsi="Arial" w:cs="Arial"/>
                <w:b w:val="0"/>
                <w:bCs w:val="0"/>
                <w:sz w:val="20"/>
                <w:szCs w:val="20"/>
              </w:rPr>
            </w:pPr>
            <w:r>
              <w:rPr>
                <w:rStyle w:val="Strong"/>
                <w:rFonts w:ascii="Arial" w:hAnsi="Arial" w:cs="Arial"/>
                <w:b w:val="0"/>
                <w:bCs w:val="0"/>
                <w:sz w:val="20"/>
                <w:szCs w:val="20"/>
              </w:rPr>
              <w:t>Sprint – Karen Riepenkroger</w:t>
            </w:r>
          </w:p>
          <w:p w:rsidR="008B022F" w:rsidRPr="000D7FF7" w:rsidRDefault="008B022F" w:rsidP="000F7020">
            <w:pPr>
              <w:rPr>
                <w:rStyle w:val="Strong"/>
                <w:rFonts w:ascii="Arial" w:hAnsi="Arial" w:cs="Arial"/>
                <w:b w:val="0"/>
                <w:bCs w:val="0"/>
                <w:sz w:val="20"/>
                <w:szCs w:val="20"/>
              </w:rPr>
            </w:pPr>
            <w:r w:rsidRPr="000D7FF7">
              <w:rPr>
                <w:rStyle w:val="Strong"/>
                <w:rFonts w:ascii="Arial" w:hAnsi="Arial" w:cs="Arial"/>
                <w:b w:val="0"/>
                <w:bCs w:val="0"/>
                <w:sz w:val="20"/>
                <w:szCs w:val="20"/>
              </w:rPr>
              <w:t>T-Mobile USA – Cathie Capita</w:t>
            </w:r>
          </w:p>
          <w:p w:rsidR="007E2037" w:rsidRPr="000D7FF7" w:rsidRDefault="007E2037" w:rsidP="000F7020">
            <w:pPr>
              <w:rPr>
                <w:rStyle w:val="Strong"/>
                <w:rFonts w:ascii="Arial" w:hAnsi="Arial" w:cs="Arial"/>
                <w:b w:val="0"/>
                <w:bCs w:val="0"/>
                <w:sz w:val="20"/>
                <w:szCs w:val="20"/>
              </w:rPr>
            </w:pPr>
            <w:r w:rsidRPr="000D7FF7">
              <w:rPr>
                <w:rStyle w:val="Strong"/>
                <w:rFonts w:ascii="Arial" w:hAnsi="Arial" w:cs="Arial"/>
                <w:b w:val="0"/>
                <w:bCs w:val="0"/>
                <w:sz w:val="20"/>
                <w:szCs w:val="20"/>
              </w:rPr>
              <w:t>Verizon – Laura Dalton</w:t>
            </w:r>
          </w:p>
          <w:p w:rsidR="00987190" w:rsidRDefault="00987190" w:rsidP="00987190">
            <w:r>
              <w:t>XO Communications – Ruben Galvan</w:t>
            </w:r>
          </w:p>
          <w:p w:rsidR="00987190" w:rsidRPr="008B4D7A" w:rsidRDefault="00987190" w:rsidP="000F7020">
            <w:pPr>
              <w:rPr>
                <w:rStyle w:val="Strong"/>
                <w:rFonts w:ascii="Arial" w:hAnsi="Arial" w:cs="Arial"/>
                <w:b w:val="0"/>
                <w:bCs w:val="0"/>
                <w:sz w:val="20"/>
                <w:szCs w:val="20"/>
              </w:rPr>
            </w:pPr>
          </w:p>
          <w:p w:rsidR="00D11465" w:rsidRPr="008B4D7A" w:rsidRDefault="00D11465" w:rsidP="000D7FF7">
            <w:pPr>
              <w:rPr>
                <w:rStyle w:val="Strong"/>
                <w:rFonts w:ascii="Arial" w:hAnsi="Arial" w:cs="Arial"/>
                <w:b w:val="0"/>
                <w:bCs w:val="0"/>
                <w:sz w:val="20"/>
                <w:szCs w:val="20"/>
                <w:lang w:val="sv-SE"/>
              </w:rPr>
            </w:pPr>
          </w:p>
        </w:tc>
        <w:tc>
          <w:tcPr>
            <w:tcW w:w="4788" w:type="dxa"/>
          </w:tcPr>
          <w:p w:rsidR="006E0D9F" w:rsidRDefault="000D7FF7" w:rsidP="00C05B28">
            <w:pPr>
              <w:rPr>
                <w:rFonts w:ascii="Arial" w:hAnsi="Arial" w:cs="Arial"/>
                <w:sz w:val="20"/>
                <w:szCs w:val="20"/>
              </w:rPr>
            </w:pPr>
            <w:r>
              <w:rPr>
                <w:rFonts w:ascii="Arial" w:hAnsi="Arial" w:cs="Arial"/>
                <w:sz w:val="20"/>
                <w:szCs w:val="20"/>
              </w:rPr>
              <w:t>Al Cipparone</w:t>
            </w:r>
          </w:p>
          <w:p w:rsidR="007E2037" w:rsidRPr="000D7FF7" w:rsidRDefault="007E2037" w:rsidP="00C05B28">
            <w:pPr>
              <w:rPr>
                <w:rFonts w:ascii="Arial" w:hAnsi="Arial" w:cs="Arial"/>
                <w:sz w:val="20"/>
                <w:szCs w:val="20"/>
              </w:rPr>
            </w:pPr>
            <w:r w:rsidRPr="000D7FF7">
              <w:rPr>
                <w:rFonts w:ascii="Arial" w:hAnsi="Arial" w:cs="Arial"/>
                <w:sz w:val="20"/>
                <w:szCs w:val="20"/>
              </w:rPr>
              <w:t>Joe Cocke</w:t>
            </w:r>
          </w:p>
          <w:p w:rsidR="00A5650B" w:rsidRPr="000D7FF7" w:rsidRDefault="00A5650B" w:rsidP="00C05B28">
            <w:pPr>
              <w:rPr>
                <w:rFonts w:ascii="Arial" w:hAnsi="Arial" w:cs="Arial"/>
                <w:sz w:val="20"/>
                <w:szCs w:val="20"/>
              </w:rPr>
            </w:pPr>
            <w:r w:rsidRPr="000D7FF7">
              <w:rPr>
                <w:rFonts w:ascii="Arial" w:hAnsi="Arial" w:cs="Arial"/>
                <w:sz w:val="20"/>
                <w:szCs w:val="20"/>
              </w:rPr>
              <w:t>Nancy Fears</w:t>
            </w:r>
          </w:p>
          <w:p w:rsidR="00BA1B78" w:rsidRPr="000D7FF7" w:rsidRDefault="00BA1B78" w:rsidP="00C05B28">
            <w:pPr>
              <w:rPr>
                <w:rFonts w:ascii="Arial" w:hAnsi="Arial" w:cs="Arial"/>
                <w:sz w:val="20"/>
                <w:szCs w:val="20"/>
              </w:rPr>
            </w:pPr>
            <w:r w:rsidRPr="000D7FF7">
              <w:rPr>
                <w:rFonts w:ascii="Arial" w:hAnsi="Arial" w:cs="Arial"/>
                <w:sz w:val="20"/>
                <w:szCs w:val="20"/>
              </w:rPr>
              <w:t>Tom Foley</w:t>
            </w:r>
          </w:p>
          <w:p w:rsidR="007E2037" w:rsidRPr="000D7FF7" w:rsidRDefault="007E2037" w:rsidP="00C05B28">
            <w:pPr>
              <w:rPr>
                <w:rFonts w:ascii="Arial" w:hAnsi="Arial" w:cs="Arial"/>
                <w:sz w:val="20"/>
                <w:szCs w:val="20"/>
              </w:rPr>
            </w:pPr>
            <w:r w:rsidRPr="000D7FF7">
              <w:rPr>
                <w:rFonts w:ascii="Arial" w:hAnsi="Arial" w:cs="Arial"/>
                <w:sz w:val="20"/>
                <w:szCs w:val="20"/>
              </w:rPr>
              <w:t>John Manning</w:t>
            </w:r>
          </w:p>
          <w:p w:rsidR="007E2037" w:rsidRPr="000D7FF7" w:rsidRDefault="007E2037" w:rsidP="00C05B28">
            <w:pPr>
              <w:rPr>
                <w:rFonts w:ascii="Arial" w:hAnsi="Arial" w:cs="Arial"/>
                <w:sz w:val="20"/>
                <w:szCs w:val="20"/>
              </w:rPr>
            </w:pPr>
            <w:r w:rsidRPr="000D7FF7">
              <w:rPr>
                <w:rFonts w:ascii="Arial" w:hAnsi="Arial" w:cs="Arial"/>
                <w:sz w:val="20"/>
                <w:szCs w:val="20"/>
              </w:rPr>
              <w:t>Beth Sprague</w:t>
            </w:r>
          </w:p>
          <w:p w:rsidR="007E2037" w:rsidRPr="008B4D7A" w:rsidRDefault="007E2037" w:rsidP="00C05B28">
            <w:pPr>
              <w:rPr>
                <w:rFonts w:ascii="Arial" w:hAnsi="Arial" w:cs="Arial"/>
                <w:sz w:val="20"/>
                <w:szCs w:val="20"/>
              </w:rPr>
            </w:pPr>
            <w:r w:rsidRPr="000D7FF7">
              <w:rPr>
                <w:rFonts w:ascii="Arial" w:hAnsi="Arial" w:cs="Arial"/>
                <w:sz w:val="20"/>
                <w:szCs w:val="20"/>
              </w:rPr>
              <w:t>Wayne Milby</w:t>
            </w:r>
          </w:p>
          <w:p w:rsidR="00C05B28" w:rsidRPr="008B4D7A" w:rsidRDefault="008805CC" w:rsidP="00C05B28">
            <w:pPr>
              <w:rPr>
                <w:rStyle w:val="Strong"/>
                <w:rFonts w:ascii="Arial" w:hAnsi="Arial" w:cs="Arial"/>
                <w:color w:val="A6A6A6"/>
                <w:sz w:val="20"/>
                <w:szCs w:val="20"/>
                <w:u w:val="single"/>
              </w:rPr>
            </w:pPr>
            <w:r w:rsidRPr="008B4D7A">
              <w:rPr>
                <w:rFonts w:ascii="Arial" w:hAnsi="Arial" w:cs="Arial"/>
                <w:sz w:val="20"/>
                <w:szCs w:val="20"/>
              </w:rPr>
              <w:br/>
            </w:r>
            <w:r w:rsidRPr="008B4D7A">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F950BB" w:rsidRPr="00F950BB" w:rsidRDefault="00DE6481" w:rsidP="00F950BB">
      <w:pPr>
        <w:numPr>
          <w:ilvl w:val="0"/>
          <w:numId w:val="9"/>
        </w:numPr>
        <w:autoSpaceDE w:val="0"/>
        <w:autoSpaceDN w:val="0"/>
        <w:ind w:left="342"/>
        <w:rPr>
          <w:rFonts w:ascii="Arial" w:hAnsi="Arial" w:cs="Arial"/>
          <w:sz w:val="20"/>
          <w:szCs w:val="20"/>
        </w:rPr>
      </w:pPr>
      <w:r>
        <w:rPr>
          <w:rFonts w:ascii="Arial" w:hAnsi="Arial" w:cs="Arial"/>
          <w:sz w:val="20"/>
          <w:szCs w:val="20"/>
        </w:rPr>
        <w:t>There was no new PIP activity in February</w:t>
      </w:r>
      <w:r w:rsidR="00F950BB" w:rsidRPr="00F950BB">
        <w:rPr>
          <w:rFonts w:ascii="Arial" w:hAnsi="Arial" w:cs="Arial"/>
          <w:sz w:val="20"/>
          <w:szCs w:val="20"/>
        </w:rPr>
        <w:t>.</w:t>
      </w:r>
    </w:p>
    <w:p w:rsidR="0009728C" w:rsidRDefault="0009728C" w:rsidP="008D6250">
      <w:pPr>
        <w:rPr>
          <w:rFonts w:ascii="Arial" w:hAnsi="Arial" w:cs="Arial"/>
          <w:sz w:val="20"/>
          <w:szCs w:val="20"/>
        </w:rPr>
      </w:pPr>
    </w:p>
    <w:p w:rsidR="0009728C" w:rsidRPr="008D6250" w:rsidRDefault="0009728C" w:rsidP="008D6250">
      <w:pPr>
        <w:rPr>
          <w:rFonts w:ascii="Arial" w:hAnsi="Arial" w:cs="Arial"/>
          <w:sz w:val="20"/>
          <w:szCs w:val="20"/>
        </w:rPr>
      </w:pPr>
    </w:p>
    <w:p w:rsidR="007F4B46" w:rsidRPr="00EB42F9" w:rsidRDefault="007F4B46" w:rsidP="0005076F">
      <w:pPr>
        <w:rPr>
          <w:rFonts w:ascii="Arial" w:hAnsi="Arial" w:cs="Arial"/>
          <w:sz w:val="20"/>
          <w:szCs w:val="20"/>
          <w:u w:val="single"/>
        </w:rPr>
      </w:pPr>
      <w:r w:rsidRPr="00217B59">
        <w:rPr>
          <w:rFonts w:ascii="Arial" w:hAnsi="Arial" w:cs="Arial"/>
          <w:b/>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F06395" w:rsidRDefault="000C72E8" w:rsidP="00F950BB">
      <w:pPr>
        <w:pStyle w:val="ListParagraph"/>
        <w:numPr>
          <w:ilvl w:val="0"/>
          <w:numId w:val="9"/>
        </w:numPr>
        <w:ind w:left="360"/>
        <w:contextualSpacing w:val="0"/>
        <w:rPr>
          <w:rFonts w:ascii="Arial" w:hAnsi="Arial" w:cs="Arial"/>
          <w:sz w:val="20"/>
          <w:szCs w:val="20"/>
        </w:rPr>
      </w:pPr>
      <w:r>
        <w:rPr>
          <w:rFonts w:ascii="Arial" w:hAnsi="Arial" w:cs="Arial"/>
          <w:sz w:val="20"/>
          <w:szCs w:val="20"/>
        </w:rPr>
        <w:t>The internal M&amp;Ps for Code Administration were reviewed and revised to include the changed reservation timeline (INC Issue 804) and to address additional criteria in letter that accompanies dedicated code requests (INC Issue 806).</w:t>
      </w:r>
    </w:p>
    <w:p w:rsidR="001B56F9" w:rsidRDefault="001B56F9" w:rsidP="00F950BB">
      <w:pPr>
        <w:pStyle w:val="ListParagraph"/>
        <w:numPr>
          <w:ilvl w:val="0"/>
          <w:numId w:val="9"/>
        </w:numPr>
        <w:ind w:left="360"/>
        <w:contextualSpacing w:val="0"/>
        <w:rPr>
          <w:rFonts w:ascii="Arial" w:hAnsi="Arial" w:cs="Arial"/>
          <w:sz w:val="20"/>
          <w:szCs w:val="20"/>
        </w:rPr>
      </w:pPr>
      <w:r>
        <w:rPr>
          <w:rFonts w:ascii="Arial" w:hAnsi="Arial" w:cs="Arial"/>
          <w:sz w:val="20"/>
          <w:szCs w:val="20"/>
        </w:rPr>
        <w:t>Posted the following documents to the NANPA website:</w:t>
      </w:r>
    </w:p>
    <w:p w:rsidR="001B56F9" w:rsidRDefault="001B56F9" w:rsidP="001B56F9">
      <w:pPr>
        <w:pStyle w:val="ListParagraph"/>
        <w:numPr>
          <w:ilvl w:val="1"/>
          <w:numId w:val="9"/>
        </w:numPr>
        <w:contextualSpacing w:val="0"/>
        <w:rPr>
          <w:rFonts w:ascii="Arial" w:hAnsi="Arial" w:cs="Arial"/>
          <w:sz w:val="20"/>
          <w:szCs w:val="20"/>
        </w:rPr>
      </w:pPr>
      <w:r>
        <w:rPr>
          <w:rFonts w:ascii="Arial" w:hAnsi="Arial" w:cs="Arial"/>
          <w:sz w:val="20"/>
          <w:szCs w:val="20"/>
        </w:rPr>
        <w:t>A “Getting Started for Interconnected VoIP Providers”. This document provides a summary of unique actions for an interconnected VoIP to obtain FCC authorization to obtain numbers directly from the Administrators</w:t>
      </w:r>
      <w:r w:rsidR="004657E2">
        <w:rPr>
          <w:rFonts w:ascii="Arial" w:hAnsi="Arial" w:cs="Arial"/>
          <w:sz w:val="20"/>
          <w:szCs w:val="20"/>
        </w:rPr>
        <w:t>.  This document</w:t>
      </w:r>
      <w:r>
        <w:rPr>
          <w:rFonts w:ascii="Arial" w:hAnsi="Arial" w:cs="Arial"/>
          <w:sz w:val="20"/>
          <w:szCs w:val="20"/>
        </w:rPr>
        <w:t xml:space="preserve"> was also </w:t>
      </w:r>
      <w:r w:rsidR="004657E2">
        <w:rPr>
          <w:rFonts w:ascii="Arial" w:hAnsi="Arial" w:cs="Arial"/>
          <w:sz w:val="20"/>
          <w:szCs w:val="20"/>
        </w:rPr>
        <w:t xml:space="preserve">posted </w:t>
      </w:r>
      <w:r>
        <w:rPr>
          <w:rFonts w:ascii="Arial" w:hAnsi="Arial" w:cs="Arial"/>
          <w:sz w:val="20"/>
          <w:szCs w:val="20"/>
        </w:rPr>
        <w:t>to the PA website.</w:t>
      </w:r>
    </w:p>
    <w:p w:rsidR="001B56F9" w:rsidRPr="001B56F9" w:rsidRDefault="001B56F9" w:rsidP="001B56F9">
      <w:pPr>
        <w:pStyle w:val="ListParagraph"/>
        <w:numPr>
          <w:ilvl w:val="1"/>
          <w:numId w:val="9"/>
        </w:numPr>
        <w:contextualSpacing w:val="0"/>
        <w:rPr>
          <w:rFonts w:ascii="Arial" w:hAnsi="Arial" w:cs="Arial"/>
          <w:sz w:val="20"/>
          <w:szCs w:val="20"/>
        </w:rPr>
      </w:pPr>
      <w:r>
        <w:rPr>
          <w:rFonts w:ascii="Arial" w:hAnsi="Arial" w:cs="Arial"/>
          <w:sz w:val="20"/>
          <w:szCs w:val="20"/>
        </w:rPr>
        <w:t>Updated NRUF Preparation Checklist.  Updated checklist mentions that the August 1 forecast is for 4 1/2 years instead of 5 years.</w:t>
      </w:r>
    </w:p>
    <w:p w:rsidR="00F950BB" w:rsidRDefault="00F950BB" w:rsidP="00F06395">
      <w:pPr>
        <w:pStyle w:val="ListParagraph"/>
        <w:ind w:left="360"/>
        <w:contextualSpacing w:val="0"/>
        <w:rPr>
          <w:rFonts w:ascii="Arial" w:hAnsi="Arial" w:cs="Arial"/>
          <w:sz w:val="20"/>
          <w:szCs w:val="20"/>
        </w:rPr>
      </w:pPr>
    </w:p>
    <w:p w:rsidR="00521687" w:rsidRDefault="00521687" w:rsidP="00F06395">
      <w:pPr>
        <w:pStyle w:val="ListParagraph"/>
        <w:ind w:left="360"/>
        <w:contextualSpacing w:val="0"/>
        <w:rPr>
          <w:rFonts w:ascii="Arial" w:hAnsi="Arial" w:cs="Arial"/>
          <w:sz w:val="20"/>
          <w:szCs w:val="20"/>
        </w:rPr>
      </w:pPr>
    </w:p>
    <w:p w:rsidR="00521687" w:rsidRDefault="00521687" w:rsidP="00F06395">
      <w:pPr>
        <w:pStyle w:val="ListParagraph"/>
        <w:ind w:left="360"/>
        <w:contextualSpacing w:val="0"/>
        <w:rPr>
          <w:rFonts w:ascii="Arial" w:hAnsi="Arial" w:cs="Arial"/>
          <w:sz w:val="20"/>
          <w:szCs w:val="20"/>
        </w:rPr>
      </w:pPr>
    </w:p>
    <w:p w:rsidR="00521687" w:rsidRPr="00F950BB" w:rsidRDefault="00521687" w:rsidP="00F06395">
      <w:pPr>
        <w:pStyle w:val="ListParagraph"/>
        <w:ind w:left="360"/>
        <w:contextualSpacing w:val="0"/>
        <w:rPr>
          <w:rFonts w:ascii="Arial" w:hAnsi="Arial" w:cs="Arial"/>
          <w:sz w:val="20"/>
          <w:szCs w:val="20"/>
        </w:rPr>
      </w:pPr>
    </w:p>
    <w:p w:rsidR="00D752AA" w:rsidRPr="008D6250" w:rsidRDefault="00D752AA" w:rsidP="00BA7F76">
      <w:pPr>
        <w:pStyle w:val="ListParagraph"/>
        <w:ind w:left="360"/>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lastRenderedPageBreak/>
        <w:t>Details</w:t>
      </w:r>
      <w:r w:rsidR="00217B59">
        <w:rPr>
          <w:rFonts w:ascii="Arial" w:hAnsi="Arial" w:cs="Arial"/>
          <w:b/>
          <w:sz w:val="20"/>
          <w:szCs w:val="20"/>
        </w:rPr>
        <w:t xml:space="preserve"> of PIP and MOR</w:t>
      </w:r>
      <w:r w:rsidRPr="00D50BCB">
        <w:rPr>
          <w:rFonts w:ascii="Arial" w:hAnsi="Arial" w:cs="Arial"/>
          <w:b/>
          <w:sz w:val="20"/>
          <w:szCs w:val="20"/>
        </w:rPr>
        <w:t>:</w:t>
      </w:r>
    </w:p>
    <w:p w:rsidR="008A0ADE" w:rsidRDefault="008A0ADE" w:rsidP="00B40844">
      <w:pPr>
        <w:rPr>
          <w:rFonts w:ascii="Arial" w:hAnsi="Arial" w:cs="Arial"/>
          <w:sz w:val="20"/>
          <w:szCs w:val="20"/>
        </w:rPr>
      </w:pPr>
    </w:p>
    <w:bookmarkStart w:id="2" w:name="_MON_1520154345"/>
    <w:bookmarkEnd w:id="2"/>
    <w:p w:rsidR="0009728C" w:rsidRDefault="00521687" w:rsidP="00B40844">
      <w:pPr>
        <w:rPr>
          <w:rFonts w:ascii="Arial" w:hAnsi="Arial" w:cs="Arial"/>
          <w:sz w:val="20"/>
          <w:szCs w:val="20"/>
        </w:rPr>
      </w:pPr>
      <w:r>
        <w:rPr>
          <w:rFonts w:ascii="Arial" w:hAnsi="Arial" w:cs="Arial"/>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8" ShapeID="_x0000_i1025" DrawAspect="Icon" ObjectID="_1520169559" r:id="rId9">
            <o:FieldCodes>\s</o:FieldCodes>
          </o:OLEObject>
        </w:object>
      </w: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t>NANPA Complaints</w:t>
      </w:r>
      <w:bookmarkEnd w:id="3"/>
    </w:p>
    <w:p w:rsidR="00955FDD" w:rsidRPr="000C4126" w:rsidRDefault="000267BD" w:rsidP="00436C33">
      <w:pPr>
        <w:pStyle w:val="ListParagraph"/>
        <w:numPr>
          <w:ilvl w:val="0"/>
          <w:numId w:val="5"/>
        </w:numPr>
        <w:rPr>
          <w:rFonts w:ascii="Arial" w:hAnsi="Arial" w:cs="Arial"/>
          <w:sz w:val="20"/>
          <w:szCs w:val="20"/>
        </w:rPr>
      </w:pPr>
      <w:bookmarkStart w:id="4" w:name="_Toc320540184"/>
      <w:r>
        <w:rPr>
          <w:rFonts w:ascii="Arial" w:hAnsi="Arial" w:cs="Arial"/>
          <w:sz w:val="20"/>
          <w:szCs w:val="20"/>
        </w:rPr>
        <w:t>None</w:t>
      </w:r>
    </w:p>
    <w:p w:rsidR="00022121" w:rsidRPr="00022121" w:rsidRDefault="00022121" w:rsidP="00022121">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4"/>
    </w:p>
    <w:p w:rsidR="00521687" w:rsidRDefault="00521687" w:rsidP="00A61F85">
      <w:pPr>
        <w:pStyle w:val="ListParagraph"/>
        <w:numPr>
          <w:ilvl w:val="0"/>
          <w:numId w:val="9"/>
        </w:numPr>
        <w:ind w:left="360"/>
        <w:contextualSpacing w:val="0"/>
        <w:rPr>
          <w:rFonts w:ascii="Arial" w:hAnsi="Arial" w:cs="Arial"/>
          <w:sz w:val="20"/>
          <w:szCs w:val="20"/>
        </w:rPr>
      </w:pPr>
      <w:bookmarkStart w:id="5" w:name="_Toc320540185"/>
      <w:r w:rsidRPr="00521687">
        <w:rPr>
          <w:rFonts w:ascii="Arial" w:hAnsi="Arial" w:cs="Arial"/>
          <w:sz w:val="20"/>
          <w:szCs w:val="20"/>
        </w:rPr>
        <w:t xml:space="preserve">During a NAS firewall software update, NAS was successfully switch over to Charlotte.  </w:t>
      </w:r>
      <w:r w:rsidRPr="00521687">
        <w:rPr>
          <w:b/>
          <w:color w:val="FF0000"/>
        </w:rPr>
        <w:t xml:space="preserve"> </w:t>
      </w:r>
      <w:r w:rsidRPr="00521687">
        <w:rPr>
          <w:rFonts w:ascii="Arial" w:hAnsi="Arial" w:cs="Arial"/>
          <w:sz w:val="20"/>
          <w:szCs w:val="20"/>
        </w:rPr>
        <w:t>Although NAS was fully operational in Charlotte, the DNS was not updated.  As a result, web traffic was pointed to Sterling rather than Charlotte.  NAS operation was switched back to Sterling.  The DNS issue was investigated and resolved, NAS operation was switched to Charlotte and the firewall software update was successfully completed.</w:t>
      </w:r>
      <w:r>
        <w:rPr>
          <w:rFonts w:ascii="Arial" w:hAnsi="Arial" w:cs="Arial"/>
          <w:sz w:val="20"/>
          <w:szCs w:val="20"/>
        </w:rPr>
        <w:t xml:space="preserve">  There was a 20 minute time (9:15 pm – 9:35 pm) that NAS was not available.</w:t>
      </w:r>
    </w:p>
    <w:p w:rsidR="007504CC" w:rsidRPr="007504CC" w:rsidRDefault="007504CC" w:rsidP="007504CC">
      <w:pPr>
        <w:rPr>
          <w:rFonts w:ascii="Arial" w:hAnsi="Arial" w:cs="Arial"/>
          <w:b/>
          <w:sz w:val="20"/>
          <w:szCs w:val="20"/>
          <w:u w:val="single"/>
        </w:rPr>
      </w:pPr>
    </w:p>
    <w:p w:rsidR="006F2671" w:rsidRDefault="009F4DB3" w:rsidP="006F2671">
      <w:pPr>
        <w:pStyle w:val="ListParagraph"/>
        <w:ind w:left="0"/>
        <w:rPr>
          <w:rFonts w:ascii="Arial" w:hAnsi="Arial" w:cs="Arial"/>
          <w:b/>
          <w:sz w:val="20"/>
          <w:szCs w:val="20"/>
          <w:u w:val="single"/>
        </w:rPr>
      </w:pPr>
      <w:r w:rsidRPr="000B2BF6">
        <w:rPr>
          <w:rFonts w:ascii="Arial" w:hAnsi="Arial" w:cs="Arial"/>
          <w:b/>
          <w:sz w:val="20"/>
          <w:szCs w:val="20"/>
          <w:u w:val="single"/>
        </w:rPr>
        <w:t>NAS Trouble Tickets</w:t>
      </w:r>
    </w:p>
    <w:p w:rsidR="00521687" w:rsidRPr="00521687" w:rsidRDefault="00521687" w:rsidP="005B7A86">
      <w:pPr>
        <w:pStyle w:val="ListParagraph"/>
        <w:numPr>
          <w:ilvl w:val="0"/>
          <w:numId w:val="47"/>
        </w:numPr>
        <w:rPr>
          <w:rFonts w:ascii="Arial" w:hAnsi="Arial" w:cs="Arial"/>
          <w:color w:val="000000"/>
          <w:sz w:val="20"/>
          <w:szCs w:val="20"/>
        </w:rPr>
      </w:pPr>
      <w:r w:rsidRPr="00521687">
        <w:rPr>
          <w:rFonts w:ascii="Arial" w:hAnsi="Arial" w:cs="Arial"/>
          <w:sz w:val="20"/>
          <w:szCs w:val="20"/>
          <w:shd w:val="clear" w:color="auto" w:fill="FFFFFF"/>
        </w:rPr>
        <w:t xml:space="preserve">Trouble Ticket 21 was opened on 3/1/16.  A NAS user reported they were unable to add a rate center forecast using the on-line </w:t>
      </w:r>
      <w:r w:rsidRPr="00521687">
        <w:rPr>
          <w:rFonts w:ascii="Arial" w:hAnsi="Arial" w:cs="Arial"/>
          <w:color w:val="000000"/>
          <w:sz w:val="20"/>
          <w:szCs w:val="20"/>
        </w:rPr>
        <w:t>NRUF Forecast Form F1-A</w:t>
      </w:r>
      <w:r>
        <w:rPr>
          <w:rFonts w:ascii="Arial" w:hAnsi="Arial" w:cs="Arial"/>
          <w:color w:val="000000"/>
          <w:sz w:val="20"/>
          <w:szCs w:val="20"/>
        </w:rPr>
        <w:t>.</w:t>
      </w:r>
      <w:r w:rsidRPr="00521687">
        <w:rPr>
          <w:rFonts w:ascii="Arial" w:hAnsi="Arial" w:cs="Arial"/>
          <w:color w:val="000000"/>
          <w:sz w:val="20"/>
          <w:szCs w:val="20"/>
        </w:rPr>
        <w:t xml:space="preserve">  Tests were conducted and it was determined that the "/" in the rate center name was causing the is</w:t>
      </w:r>
      <w:r>
        <w:rPr>
          <w:rFonts w:ascii="Arial" w:hAnsi="Arial" w:cs="Arial"/>
          <w:color w:val="000000"/>
          <w:sz w:val="20"/>
          <w:szCs w:val="20"/>
        </w:rPr>
        <w:t>sue</w:t>
      </w:r>
      <w:r w:rsidRPr="00521687">
        <w:rPr>
          <w:rFonts w:ascii="Arial" w:hAnsi="Arial" w:cs="Arial"/>
          <w:color w:val="000000"/>
          <w:sz w:val="20"/>
          <w:szCs w:val="20"/>
        </w:rPr>
        <w:t>.  The user updated their previously-submitted Excel NRUF Form 502 by adding the rate center and their submission was processed by NANPA.  The specific issue associated with the use of a "/" in a rate center name will be addressed in a NAS build scheduled for 3/18/16.</w:t>
      </w:r>
    </w:p>
    <w:p w:rsidR="00521687" w:rsidRPr="00521687" w:rsidRDefault="00521687" w:rsidP="00521687">
      <w:pPr>
        <w:rPr>
          <w:rFonts w:ascii="Arial" w:hAnsi="Arial" w:cs="Arial"/>
          <w:b/>
          <w:bCs/>
          <w:sz w:val="20"/>
          <w:szCs w:val="20"/>
          <w:shd w:val="clear" w:color="auto" w:fill="FFFFFF"/>
        </w:rPr>
      </w:pP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5"/>
    </w:p>
    <w:p w:rsidR="007F4B46" w:rsidRDefault="007F4B46" w:rsidP="00BA150B">
      <w:p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0A7472">
        <w:rPr>
          <w:rFonts w:ascii="Arial" w:hAnsi="Arial" w:cs="Arial"/>
          <w:b/>
          <w:sz w:val="20"/>
          <w:szCs w:val="20"/>
        </w:rPr>
        <w:t>February</w:t>
      </w:r>
      <w:r w:rsidR="00816564">
        <w:rPr>
          <w:rFonts w:ascii="Arial" w:hAnsi="Arial" w:cs="Arial"/>
          <w:b/>
          <w:sz w:val="20"/>
          <w:szCs w:val="20"/>
        </w:rPr>
        <w:t xml:space="preserve"> </w:t>
      </w:r>
      <w:r w:rsidR="00522D6B">
        <w:rPr>
          <w:rFonts w:ascii="Arial" w:hAnsi="Arial" w:cs="Arial"/>
          <w:b/>
          <w:sz w:val="20"/>
          <w:szCs w:val="20"/>
        </w:rPr>
        <w:t>2015</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0A7472" w:rsidP="00C840E0">
            <w:pPr>
              <w:rPr>
                <w:rFonts w:ascii="Arial" w:hAnsi="Arial" w:cs="Arial"/>
                <w:sz w:val="20"/>
                <w:szCs w:val="20"/>
              </w:rPr>
            </w:pPr>
            <w:r>
              <w:rPr>
                <w:rFonts w:ascii="Arial" w:hAnsi="Arial" w:cs="Arial"/>
                <w:sz w:val="20"/>
                <w:szCs w:val="20"/>
              </w:rPr>
              <w:t>294</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0A7472" w:rsidP="009667CF">
            <w:pPr>
              <w:rPr>
                <w:rFonts w:ascii="Arial" w:hAnsi="Arial" w:cs="Arial"/>
                <w:sz w:val="20"/>
                <w:szCs w:val="20"/>
              </w:rPr>
            </w:pPr>
            <w:r>
              <w:rPr>
                <w:rFonts w:ascii="Arial" w:hAnsi="Arial" w:cs="Arial"/>
                <w:sz w:val="20"/>
                <w:szCs w:val="20"/>
              </w:rPr>
              <w:t>505</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7B18DF" w:rsidP="00C840E0">
            <w:pPr>
              <w:rPr>
                <w:rFonts w:ascii="Arial" w:hAnsi="Arial" w:cs="Arial"/>
                <w:sz w:val="20"/>
                <w:szCs w:val="20"/>
              </w:rPr>
            </w:pPr>
            <w:r>
              <w:rPr>
                <w:rFonts w:ascii="Arial" w:hAnsi="Arial" w:cs="Arial"/>
                <w:sz w:val="20"/>
                <w:szCs w:val="20"/>
              </w:rPr>
              <w:t>30</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540D4A" w:rsidP="00C840E0">
            <w:pPr>
              <w:rPr>
                <w:rFonts w:ascii="Arial" w:hAnsi="Arial" w:cs="Arial"/>
                <w:sz w:val="20"/>
                <w:szCs w:val="20"/>
              </w:rPr>
            </w:pPr>
            <w:r>
              <w:rPr>
                <w:rFonts w:ascii="Arial" w:hAnsi="Arial" w:cs="Arial"/>
                <w:sz w:val="20"/>
                <w:szCs w:val="20"/>
              </w:rPr>
              <w:t>7</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816564" w:rsidP="00C840E0">
            <w:pPr>
              <w:rPr>
                <w:rFonts w:ascii="Arial" w:hAnsi="Arial" w:cs="Arial"/>
                <w:sz w:val="20"/>
                <w:szCs w:val="20"/>
              </w:rPr>
            </w:pPr>
            <w:r>
              <w:rPr>
                <w:rFonts w:ascii="Arial" w:hAnsi="Arial" w:cs="Arial"/>
                <w:sz w:val="20"/>
                <w:szCs w:val="20"/>
              </w:rPr>
              <w:t>0</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7B18DF" w:rsidP="007B4C72">
            <w:pPr>
              <w:rPr>
                <w:rFonts w:ascii="Arial" w:hAnsi="Arial" w:cs="Arial"/>
                <w:sz w:val="20"/>
                <w:szCs w:val="20"/>
              </w:rPr>
            </w:pPr>
            <w:r>
              <w:rPr>
                <w:rFonts w:ascii="Arial" w:hAnsi="Arial" w:cs="Arial"/>
                <w:sz w:val="20"/>
                <w:szCs w:val="20"/>
              </w:rPr>
              <w:t>19</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7B18DF" w:rsidP="00916BCE">
            <w:pPr>
              <w:rPr>
                <w:rFonts w:ascii="Arial" w:hAnsi="Arial" w:cs="Arial"/>
                <w:b/>
                <w:bCs/>
                <w:sz w:val="20"/>
                <w:szCs w:val="20"/>
              </w:rPr>
            </w:pPr>
            <w:r>
              <w:rPr>
                <w:rFonts w:ascii="Arial" w:hAnsi="Arial" w:cs="Arial"/>
                <w:b/>
                <w:bCs/>
                <w:sz w:val="20"/>
                <w:szCs w:val="20"/>
              </w:rPr>
              <w:t>818</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7B18DF" w:rsidP="001F40B3">
            <w:pPr>
              <w:rPr>
                <w:rFonts w:ascii="Arial" w:hAnsi="Arial" w:cs="Arial"/>
                <w:sz w:val="20"/>
                <w:szCs w:val="20"/>
              </w:rPr>
            </w:pPr>
            <w:r>
              <w:rPr>
                <w:rFonts w:ascii="Arial" w:hAnsi="Arial" w:cs="Arial"/>
                <w:sz w:val="20"/>
                <w:szCs w:val="20"/>
              </w:rPr>
              <w:t>467</w:t>
            </w:r>
          </w:p>
        </w:tc>
      </w:tr>
      <w:tr w:rsidR="00EC78BA" w:rsidRPr="00B67D93" w:rsidTr="0057314B">
        <w:trPr>
          <w:trHeight w:val="80"/>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7B18DF" w:rsidP="00C840E0">
            <w:pPr>
              <w:rPr>
                <w:rFonts w:ascii="Arial" w:hAnsi="Arial" w:cs="Arial"/>
                <w:sz w:val="20"/>
                <w:szCs w:val="20"/>
              </w:rPr>
            </w:pPr>
            <w:r>
              <w:rPr>
                <w:rFonts w:ascii="Arial" w:hAnsi="Arial" w:cs="Arial"/>
                <w:sz w:val="20"/>
                <w:szCs w:val="20"/>
              </w:rPr>
              <w:t>0</w:t>
            </w:r>
          </w:p>
        </w:tc>
      </w:tr>
    </w:tbl>
    <w:p w:rsidR="00F31D18" w:rsidRDefault="00F31D18" w:rsidP="00B67D93">
      <w:pPr>
        <w:rPr>
          <w:rFonts w:ascii="Arial" w:hAnsi="Arial" w:cs="Arial"/>
          <w:sz w:val="20"/>
          <w:szCs w:val="20"/>
        </w:rPr>
      </w:pPr>
    </w:p>
    <w:p w:rsidR="0074355C" w:rsidRDefault="0074355C" w:rsidP="00B67D93">
      <w:pPr>
        <w:rPr>
          <w:rFonts w:ascii="Arial" w:hAnsi="Arial" w:cs="Arial"/>
          <w:sz w:val="20"/>
          <w:szCs w:val="20"/>
        </w:rPr>
      </w:pPr>
    </w:p>
    <w:p w:rsidR="000B2BF6" w:rsidRDefault="000B2BF6">
      <w:pPr>
        <w:rPr>
          <w:rFonts w:ascii="Arial" w:hAnsi="Arial" w:cs="Arial"/>
          <w:sz w:val="20"/>
          <w:szCs w:val="20"/>
        </w:rPr>
      </w:pPr>
      <w:r>
        <w:rPr>
          <w:rFonts w:ascii="Arial" w:hAnsi="Arial" w:cs="Arial"/>
          <w:sz w:val="20"/>
          <w:szCs w:val="20"/>
        </w:rPr>
        <w:br w:type="page"/>
      </w:r>
    </w:p>
    <w:p w:rsidR="00540D4A" w:rsidRDefault="00540D4A" w:rsidP="00B67D93">
      <w:pPr>
        <w:rPr>
          <w:rFonts w:ascii="Arial" w:hAnsi="Arial" w:cs="Arial"/>
          <w:sz w:val="20"/>
          <w:szCs w:val="20"/>
        </w:rPr>
      </w:pPr>
    </w:p>
    <w:p w:rsidR="007F4B46" w:rsidRDefault="007F4B46" w:rsidP="00B67D93">
      <w:pPr>
        <w:rPr>
          <w:rFonts w:ascii="Arial" w:hAnsi="Arial" w:cs="Arial"/>
          <w:b/>
          <w:sz w:val="20"/>
          <w:szCs w:val="20"/>
        </w:rPr>
      </w:pPr>
      <w:r>
        <w:rPr>
          <w:rFonts w:ascii="Arial" w:hAnsi="Arial" w:cs="Arial"/>
          <w:sz w:val="20"/>
          <w:szCs w:val="20"/>
        </w:rPr>
        <w:t>Central Office Code Administration Monthly Performance Metrics - Volume:</w:t>
      </w:r>
      <w:r w:rsidR="008D6250">
        <w:rPr>
          <w:rFonts w:ascii="Arial" w:hAnsi="Arial" w:cs="Arial"/>
          <w:sz w:val="20"/>
          <w:szCs w:val="20"/>
        </w:rPr>
        <w:t xml:space="preserve"> </w:t>
      </w:r>
      <w:r w:rsidR="007B18DF">
        <w:rPr>
          <w:rFonts w:ascii="Arial" w:hAnsi="Arial" w:cs="Arial"/>
          <w:b/>
          <w:sz w:val="20"/>
          <w:szCs w:val="20"/>
        </w:rPr>
        <w:t>February</w:t>
      </w:r>
      <w:r w:rsidR="00145FAA" w:rsidRPr="00145FAA">
        <w:rPr>
          <w:rFonts w:ascii="Arial" w:hAnsi="Arial" w:cs="Arial"/>
          <w:b/>
          <w:sz w:val="20"/>
          <w:szCs w:val="20"/>
        </w:rPr>
        <w:t xml:space="preserve"> </w:t>
      </w:r>
      <w:r w:rsidR="00522D6B">
        <w:rPr>
          <w:rFonts w:ascii="Arial" w:hAnsi="Arial" w:cs="Arial"/>
          <w:b/>
          <w:sz w:val="20"/>
          <w:szCs w:val="20"/>
        </w:rPr>
        <w:t>2015</w:t>
      </w:r>
    </w:p>
    <w:p w:rsidR="0074355C" w:rsidRDefault="0074355C" w:rsidP="00B67D93">
      <w:pPr>
        <w:rPr>
          <w:rFonts w:ascii="Arial" w:hAnsi="Arial" w:cs="Arial"/>
          <w:sz w:val="20"/>
          <w:szCs w:val="20"/>
        </w:rPr>
      </w:pP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A91595">
        <w:trPr>
          <w:trHeight w:val="502"/>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A91595"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7B18DF" w:rsidP="00741CD2">
            <w:pPr>
              <w:rPr>
                <w:rFonts w:ascii="Arial" w:hAnsi="Arial" w:cs="Arial"/>
                <w:sz w:val="20"/>
                <w:szCs w:val="20"/>
              </w:rPr>
            </w:pPr>
            <w:r>
              <w:rPr>
                <w:rFonts w:ascii="Arial" w:hAnsi="Arial" w:cs="Arial"/>
                <w:sz w:val="20"/>
                <w:szCs w:val="20"/>
              </w:rPr>
              <w:t>34</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inputs exceeding </w:t>
            </w:r>
            <w:r w:rsidR="0075612E">
              <w:rPr>
                <w:rFonts w:ascii="Arial" w:hAnsi="Arial" w:cs="Arial"/>
                <w:sz w:val="20"/>
                <w:szCs w:val="20"/>
              </w:rPr>
              <w:t>7/</w:t>
            </w:r>
            <w:r w:rsidRPr="00C840E0">
              <w:rPr>
                <w:rFonts w:ascii="Arial" w:hAnsi="Arial" w:cs="Arial"/>
                <w:sz w:val="20"/>
                <w:szCs w:val="20"/>
              </w:rPr>
              <w:t>5 days</w:t>
            </w:r>
          </w:p>
        </w:tc>
        <w:tc>
          <w:tcPr>
            <w:tcW w:w="1890" w:type="dxa"/>
            <w:tcBorders>
              <w:top w:val="nil"/>
              <w:left w:val="nil"/>
              <w:bottom w:val="single" w:sz="8" w:space="0" w:color="auto"/>
              <w:right w:val="single" w:sz="8" w:space="0" w:color="auto"/>
            </w:tcBorders>
            <w:noWrap/>
          </w:tcPr>
          <w:p w:rsidR="007F4B46" w:rsidRPr="00C840E0" w:rsidRDefault="00C061D1"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7B18DF" w:rsidP="009847CE">
            <w:pPr>
              <w:rPr>
                <w:rFonts w:ascii="Arial" w:hAnsi="Arial" w:cs="Arial"/>
                <w:sz w:val="20"/>
                <w:szCs w:val="20"/>
              </w:rPr>
            </w:pPr>
            <w:r>
              <w:rPr>
                <w:rFonts w:ascii="Arial" w:hAnsi="Arial" w:cs="Arial"/>
                <w:sz w:val="20"/>
                <w:szCs w:val="20"/>
              </w:rPr>
              <w:t>31</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7B18DF" w:rsidP="006305EF">
            <w:pPr>
              <w:rPr>
                <w:rFonts w:ascii="Arial" w:hAnsi="Arial" w:cs="Arial"/>
                <w:sz w:val="20"/>
                <w:szCs w:val="20"/>
              </w:rPr>
            </w:pPr>
            <w:r>
              <w:rPr>
                <w:rFonts w:ascii="Arial" w:hAnsi="Arial" w:cs="Arial"/>
                <w:sz w:val="20"/>
                <w:szCs w:val="20"/>
              </w:rPr>
              <w:t>17</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E03D17" w:rsidP="006305EF">
            <w:pPr>
              <w:rPr>
                <w:rFonts w:ascii="Arial" w:hAnsi="Arial" w:cs="Arial"/>
                <w:sz w:val="20"/>
                <w:szCs w:val="20"/>
              </w:rPr>
            </w:pPr>
            <w:r>
              <w:rPr>
                <w:rFonts w:ascii="Arial" w:hAnsi="Arial" w:cs="Arial"/>
                <w:sz w:val="20"/>
                <w:szCs w:val="20"/>
              </w:rPr>
              <w:t>0</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733549" w:rsidRDefault="00733549" w:rsidP="00B67D93">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Pr="00C80A56" w:rsidRDefault="007F4B46" w:rsidP="00F860D6">
      <w:pPr>
        <w:numPr>
          <w:ilvl w:val="0"/>
          <w:numId w:val="4"/>
        </w:numPr>
        <w:rPr>
          <w:rStyle w:val="Strong"/>
          <w:rFonts w:ascii="Arial" w:hAnsi="Arial" w:cs="Arial"/>
          <w:b w:val="0"/>
          <w:sz w:val="20"/>
          <w:szCs w:val="20"/>
        </w:rPr>
      </w:pPr>
      <w:r w:rsidRPr="00C80A56">
        <w:rPr>
          <w:rFonts w:ascii="Arial" w:hAnsi="Arial" w:cs="Arial"/>
          <w:sz w:val="20"/>
          <w:szCs w:val="20"/>
        </w:rPr>
        <w:t>Metrics/Benchmarks</w:t>
      </w:r>
      <w:r w:rsidR="00E862C9" w:rsidRPr="00C80A56">
        <w:rPr>
          <w:rFonts w:ascii="Arial" w:hAnsi="Arial" w:cs="Arial"/>
          <w:sz w:val="20"/>
          <w:szCs w:val="20"/>
        </w:rPr>
        <w:t xml:space="preserve"> </w:t>
      </w:r>
      <w:r w:rsidR="00FE7988" w:rsidRPr="00C80A56">
        <w:rPr>
          <w:rFonts w:ascii="Arial" w:hAnsi="Arial" w:cs="Arial"/>
          <w:sz w:val="20"/>
          <w:szCs w:val="20"/>
        </w:rPr>
        <w:t>–</w:t>
      </w:r>
      <w:r w:rsidR="00E862C9" w:rsidRPr="00C80A56">
        <w:rPr>
          <w:rFonts w:ascii="Arial" w:hAnsi="Arial" w:cs="Arial"/>
          <w:sz w:val="20"/>
          <w:szCs w:val="20"/>
        </w:rPr>
        <w:t xml:space="preserve"> </w:t>
      </w:r>
      <w:r w:rsidR="00952C0C" w:rsidRPr="00C80A56">
        <w:rPr>
          <w:rStyle w:val="Strong"/>
          <w:rFonts w:ascii="Arial" w:hAnsi="Arial" w:cs="Arial"/>
          <w:b w:val="0"/>
          <w:sz w:val="20"/>
          <w:szCs w:val="20"/>
        </w:rPr>
        <w:t xml:space="preserve">all metrics for </w:t>
      </w:r>
      <w:r w:rsidR="00B04E7A">
        <w:rPr>
          <w:rStyle w:val="Strong"/>
          <w:rFonts w:ascii="Arial" w:hAnsi="Arial" w:cs="Arial"/>
          <w:b w:val="0"/>
          <w:sz w:val="20"/>
          <w:szCs w:val="20"/>
        </w:rPr>
        <w:t>February</w:t>
      </w:r>
      <w:r w:rsidR="00C80A56" w:rsidRPr="00C80A56">
        <w:rPr>
          <w:rStyle w:val="Strong"/>
          <w:rFonts w:ascii="Arial" w:hAnsi="Arial" w:cs="Arial"/>
          <w:b w:val="0"/>
          <w:sz w:val="20"/>
          <w:szCs w:val="20"/>
        </w:rPr>
        <w:t xml:space="preserve"> </w:t>
      </w:r>
      <w:r w:rsidR="007B4C72" w:rsidRPr="00C80A56">
        <w:rPr>
          <w:rStyle w:val="Strong"/>
          <w:rFonts w:ascii="Arial" w:hAnsi="Arial" w:cs="Arial"/>
          <w:b w:val="0"/>
          <w:sz w:val="20"/>
          <w:szCs w:val="20"/>
        </w:rPr>
        <w:t>2015</w:t>
      </w:r>
      <w:r w:rsidR="00952C0C" w:rsidRPr="00C80A56">
        <w:rPr>
          <w:rStyle w:val="Strong"/>
          <w:rFonts w:ascii="Arial" w:hAnsi="Arial" w:cs="Arial"/>
          <w:b w:val="0"/>
          <w:sz w:val="20"/>
          <w:szCs w:val="20"/>
        </w:rPr>
        <w:t xml:space="preserve"> were met</w:t>
      </w:r>
    </w:p>
    <w:p w:rsidR="008353FD" w:rsidRPr="000E55D2" w:rsidRDefault="008353FD" w:rsidP="00F860D6">
      <w:pPr>
        <w:numPr>
          <w:ilvl w:val="0"/>
          <w:numId w:val="4"/>
        </w:numPr>
        <w:rPr>
          <w:rStyle w:val="Strong"/>
          <w:rFonts w:ascii="Arial" w:hAnsi="Arial" w:cs="Arial"/>
          <w:b w:val="0"/>
          <w:sz w:val="20"/>
          <w:szCs w:val="20"/>
        </w:rPr>
      </w:pPr>
      <w:r w:rsidRPr="000E55D2">
        <w:rPr>
          <w:rStyle w:val="Strong"/>
          <w:rFonts w:ascii="Arial" w:hAnsi="Arial" w:cs="Arial"/>
          <w:b w:val="0"/>
          <w:sz w:val="20"/>
          <w:szCs w:val="20"/>
        </w:rPr>
        <w:t xml:space="preserve">There were </w:t>
      </w:r>
      <w:r w:rsidR="00B04E7A">
        <w:rPr>
          <w:rStyle w:val="Strong"/>
          <w:rFonts w:ascii="Arial" w:hAnsi="Arial" w:cs="Arial"/>
          <w:b w:val="0"/>
          <w:sz w:val="20"/>
          <w:szCs w:val="20"/>
        </w:rPr>
        <w:t>115</w:t>
      </w:r>
      <w:r w:rsidR="000D5FEF" w:rsidRPr="000E55D2">
        <w:rPr>
          <w:rStyle w:val="Strong"/>
          <w:rFonts w:ascii="Arial" w:hAnsi="Arial" w:cs="Arial"/>
          <w:b w:val="0"/>
          <w:sz w:val="20"/>
          <w:szCs w:val="20"/>
        </w:rPr>
        <w:t xml:space="preserve"> 5</w:t>
      </w:r>
      <w:r w:rsidR="00E000B4" w:rsidRPr="000E55D2">
        <w:rPr>
          <w:rStyle w:val="Strong"/>
          <w:rFonts w:ascii="Arial" w:hAnsi="Arial" w:cs="Arial"/>
          <w:b w:val="0"/>
          <w:sz w:val="20"/>
          <w:szCs w:val="20"/>
        </w:rPr>
        <w:t xml:space="preserve">XX-NXX </w:t>
      </w:r>
      <w:r w:rsidRPr="000E55D2">
        <w:rPr>
          <w:rStyle w:val="Strong"/>
          <w:rFonts w:ascii="Arial" w:hAnsi="Arial" w:cs="Arial"/>
          <w:b w:val="0"/>
          <w:sz w:val="20"/>
          <w:szCs w:val="20"/>
        </w:rPr>
        <w:t xml:space="preserve">assignments made in </w:t>
      </w:r>
      <w:r w:rsidR="00B04E7A">
        <w:rPr>
          <w:rStyle w:val="Strong"/>
          <w:rFonts w:ascii="Arial" w:hAnsi="Arial" w:cs="Arial"/>
          <w:b w:val="0"/>
          <w:sz w:val="20"/>
          <w:szCs w:val="20"/>
        </w:rPr>
        <w:t>February</w:t>
      </w:r>
    </w:p>
    <w:p w:rsidR="00952C0C" w:rsidRPr="000E55D2" w:rsidRDefault="00952C0C" w:rsidP="00B27F5A">
      <w:pPr>
        <w:numPr>
          <w:ilvl w:val="0"/>
          <w:numId w:val="4"/>
        </w:numPr>
        <w:rPr>
          <w:rFonts w:ascii="Arial" w:hAnsi="Arial" w:cs="Arial"/>
          <w:sz w:val="20"/>
          <w:szCs w:val="20"/>
        </w:rPr>
      </w:pPr>
      <w:r w:rsidRPr="000E55D2">
        <w:rPr>
          <w:rFonts w:ascii="Arial" w:hAnsi="Arial" w:cs="Arial"/>
          <w:sz w:val="20"/>
          <w:szCs w:val="20"/>
        </w:rPr>
        <w:t xml:space="preserve">There were </w:t>
      </w:r>
      <w:r w:rsidR="00B04E7A">
        <w:rPr>
          <w:rFonts w:ascii="Arial" w:hAnsi="Arial" w:cs="Arial"/>
          <w:sz w:val="20"/>
          <w:szCs w:val="20"/>
        </w:rPr>
        <w:t>893</w:t>
      </w:r>
      <w:r w:rsidRPr="000E55D2">
        <w:rPr>
          <w:rFonts w:ascii="Arial" w:hAnsi="Arial" w:cs="Arial"/>
          <w:sz w:val="20"/>
          <w:szCs w:val="20"/>
        </w:rPr>
        <w:t xml:space="preserve"> 555 </w:t>
      </w:r>
      <w:r w:rsidR="0006444B" w:rsidRPr="000E55D2">
        <w:rPr>
          <w:rFonts w:ascii="Arial" w:hAnsi="Arial" w:cs="Arial"/>
          <w:sz w:val="20"/>
          <w:szCs w:val="20"/>
        </w:rPr>
        <w:t xml:space="preserve">reclamations/returns in </w:t>
      </w:r>
      <w:r w:rsidR="00B04E7A">
        <w:rPr>
          <w:rFonts w:ascii="Arial" w:hAnsi="Arial" w:cs="Arial"/>
          <w:sz w:val="20"/>
          <w:szCs w:val="20"/>
        </w:rPr>
        <w:t>February</w:t>
      </w:r>
    </w:p>
    <w:p w:rsidR="000E55D2" w:rsidRDefault="000E55D2" w:rsidP="00B27F5A">
      <w:pPr>
        <w:numPr>
          <w:ilvl w:val="0"/>
          <w:numId w:val="4"/>
        </w:numPr>
        <w:rPr>
          <w:rFonts w:ascii="Arial" w:hAnsi="Arial" w:cs="Arial"/>
          <w:sz w:val="20"/>
          <w:szCs w:val="20"/>
        </w:rPr>
      </w:pPr>
      <w:r>
        <w:rPr>
          <w:rFonts w:ascii="Arial" w:hAnsi="Arial" w:cs="Arial"/>
          <w:sz w:val="20"/>
          <w:szCs w:val="20"/>
        </w:rPr>
        <w:t>555 Reclamation Update</w:t>
      </w:r>
    </w:p>
    <w:p w:rsidR="005A395D" w:rsidRDefault="009424F2" w:rsidP="000E55D2">
      <w:pPr>
        <w:numPr>
          <w:ilvl w:val="1"/>
          <w:numId w:val="4"/>
        </w:numPr>
        <w:rPr>
          <w:rFonts w:ascii="Arial" w:hAnsi="Arial" w:cs="Arial"/>
          <w:sz w:val="20"/>
          <w:szCs w:val="20"/>
        </w:rPr>
      </w:pPr>
      <w:r>
        <w:rPr>
          <w:rFonts w:ascii="Arial" w:hAnsi="Arial" w:cs="Arial"/>
          <w:sz w:val="20"/>
          <w:szCs w:val="20"/>
        </w:rPr>
        <w:t>1</w:t>
      </w:r>
      <w:r w:rsidR="00B04E7A">
        <w:rPr>
          <w:rFonts w:ascii="Arial" w:hAnsi="Arial" w:cs="Arial"/>
          <w:sz w:val="20"/>
          <w:szCs w:val="20"/>
        </w:rPr>
        <w:t>679</w:t>
      </w:r>
      <w:r w:rsidR="000E55D2">
        <w:rPr>
          <w:rFonts w:ascii="Arial" w:hAnsi="Arial" w:cs="Arial"/>
          <w:sz w:val="20"/>
          <w:szCs w:val="20"/>
        </w:rPr>
        <w:t xml:space="preserve"> letters have been sent via US Mail with </w:t>
      </w:r>
      <w:r w:rsidR="00AA1BB9">
        <w:rPr>
          <w:rFonts w:ascii="Arial" w:hAnsi="Arial" w:cs="Arial"/>
          <w:sz w:val="20"/>
          <w:szCs w:val="20"/>
        </w:rPr>
        <w:t>417</w:t>
      </w:r>
      <w:r w:rsidR="000E55D2">
        <w:rPr>
          <w:rFonts w:ascii="Arial" w:hAnsi="Arial" w:cs="Arial"/>
          <w:sz w:val="20"/>
          <w:szCs w:val="20"/>
        </w:rPr>
        <w:t xml:space="preserve"> being returned as undeliverable</w:t>
      </w:r>
    </w:p>
    <w:p w:rsidR="000E55D2" w:rsidRDefault="0005420A" w:rsidP="000E55D2">
      <w:pPr>
        <w:numPr>
          <w:ilvl w:val="1"/>
          <w:numId w:val="4"/>
        </w:numPr>
        <w:rPr>
          <w:rFonts w:ascii="Arial" w:hAnsi="Arial" w:cs="Arial"/>
          <w:sz w:val="20"/>
          <w:szCs w:val="20"/>
        </w:rPr>
      </w:pPr>
      <w:r>
        <w:rPr>
          <w:rFonts w:ascii="Arial" w:hAnsi="Arial" w:cs="Arial"/>
          <w:sz w:val="20"/>
          <w:szCs w:val="20"/>
        </w:rPr>
        <w:t>6</w:t>
      </w:r>
      <w:r w:rsidR="000E55D2">
        <w:rPr>
          <w:rFonts w:ascii="Arial" w:hAnsi="Arial" w:cs="Arial"/>
          <w:sz w:val="20"/>
          <w:szCs w:val="20"/>
        </w:rPr>
        <w:t xml:space="preserve"> faxes sent to assignees</w:t>
      </w:r>
    </w:p>
    <w:p w:rsidR="000E55D2" w:rsidRDefault="009424F2" w:rsidP="000E55D2">
      <w:pPr>
        <w:numPr>
          <w:ilvl w:val="1"/>
          <w:numId w:val="4"/>
        </w:numPr>
        <w:rPr>
          <w:rFonts w:ascii="Arial" w:hAnsi="Arial" w:cs="Arial"/>
          <w:sz w:val="20"/>
          <w:szCs w:val="20"/>
        </w:rPr>
      </w:pPr>
      <w:r>
        <w:rPr>
          <w:rFonts w:ascii="Arial" w:hAnsi="Arial" w:cs="Arial"/>
          <w:sz w:val="20"/>
          <w:szCs w:val="20"/>
        </w:rPr>
        <w:t>2</w:t>
      </w:r>
      <w:r w:rsidR="00AA1BB9">
        <w:rPr>
          <w:rFonts w:ascii="Arial" w:hAnsi="Arial" w:cs="Arial"/>
          <w:sz w:val="20"/>
          <w:szCs w:val="20"/>
        </w:rPr>
        <w:t>64</w:t>
      </w:r>
      <w:r w:rsidR="00083856">
        <w:rPr>
          <w:rFonts w:ascii="Arial" w:hAnsi="Arial" w:cs="Arial"/>
          <w:sz w:val="20"/>
          <w:szCs w:val="20"/>
        </w:rPr>
        <w:t xml:space="preserve"> </w:t>
      </w:r>
      <w:r w:rsidR="000E55D2">
        <w:rPr>
          <w:rFonts w:ascii="Arial" w:hAnsi="Arial" w:cs="Arial"/>
          <w:sz w:val="20"/>
          <w:szCs w:val="20"/>
        </w:rPr>
        <w:t xml:space="preserve">emails sent to assignees with </w:t>
      </w:r>
      <w:r w:rsidR="00AA1BB9">
        <w:rPr>
          <w:rFonts w:ascii="Arial" w:hAnsi="Arial" w:cs="Arial"/>
          <w:sz w:val="20"/>
          <w:szCs w:val="20"/>
        </w:rPr>
        <w:t>60</w:t>
      </w:r>
      <w:r w:rsidR="000E55D2">
        <w:rPr>
          <w:rFonts w:ascii="Arial" w:hAnsi="Arial" w:cs="Arial"/>
          <w:sz w:val="20"/>
          <w:szCs w:val="20"/>
        </w:rPr>
        <w:t xml:space="preserve"> emails being returned as undeliverable</w:t>
      </w:r>
    </w:p>
    <w:p w:rsidR="00083856" w:rsidRDefault="00083856" w:rsidP="00083856">
      <w:pPr>
        <w:numPr>
          <w:ilvl w:val="1"/>
          <w:numId w:val="4"/>
        </w:numPr>
        <w:rPr>
          <w:rFonts w:ascii="Arial" w:hAnsi="Arial" w:cs="Arial"/>
          <w:sz w:val="20"/>
          <w:szCs w:val="20"/>
        </w:rPr>
      </w:pPr>
      <w:r>
        <w:rPr>
          <w:rFonts w:ascii="Arial" w:hAnsi="Arial" w:cs="Arial"/>
          <w:sz w:val="20"/>
          <w:szCs w:val="20"/>
        </w:rPr>
        <w:t xml:space="preserve">As of </w:t>
      </w:r>
      <w:r w:rsidR="009424F2">
        <w:rPr>
          <w:rFonts w:ascii="Arial" w:hAnsi="Arial" w:cs="Arial"/>
          <w:sz w:val="20"/>
          <w:szCs w:val="20"/>
        </w:rPr>
        <w:t>0</w:t>
      </w:r>
      <w:r w:rsidR="00AA1BB9">
        <w:rPr>
          <w:rFonts w:ascii="Arial" w:hAnsi="Arial" w:cs="Arial"/>
          <w:sz w:val="20"/>
          <w:szCs w:val="20"/>
        </w:rPr>
        <w:t>2</w:t>
      </w:r>
      <w:r w:rsidR="00733B0E">
        <w:rPr>
          <w:rFonts w:ascii="Arial" w:hAnsi="Arial" w:cs="Arial"/>
          <w:sz w:val="20"/>
          <w:szCs w:val="20"/>
        </w:rPr>
        <w:t>/31/</w:t>
      </w:r>
      <w:r>
        <w:rPr>
          <w:rFonts w:ascii="Arial" w:hAnsi="Arial" w:cs="Arial"/>
          <w:sz w:val="20"/>
          <w:szCs w:val="20"/>
        </w:rPr>
        <w:t xml:space="preserve">15, </w:t>
      </w:r>
      <w:r w:rsidR="007D1EFA">
        <w:rPr>
          <w:rFonts w:ascii="Arial" w:hAnsi="Arial" w:cs="Arial"/>
          <w:sz w:val="20"/>
          <w:szCs w:val="20"/>
        </w:rPr>
        <w:t xml:space="preserve">the assignees of </w:t>
      </w:r>
      <w:r w:rsidR="009424F2">
        <w:rPr>
          <w:rFonts w:ascii="Arial" w:hAnsi="Arial" w:cs="Arial"/>
          <w:sz w:val="20"/>
          <w:szCs w:val="20"/>
        </w:rPr>
        <w:t>6,</w:t>
      </w:r>
      <w:r w:rsidR="00AA1BB9">
        <w:rPr>
          <w:rFonts w:ascii="Arial" w:hAnsi="Arial" w:cs="Arial"/>
          <w:sz w:val="20"/>
          <w:szCs w:val="20"/>
        </w:rPr>
        <w:t>858</w:t>
      </w:r>
      <w:r>
        <w:rPr>
          <w:rFonts w:ascii="Arial" w:hAnsi="Arial" w:cs="Arial"/>
          <w:sz w:val="20"/>
          <w:szCs w:val="20"/>
        </w:rPr>
        <w:t xml:space="preserve"> </w:t>
      </w:r>
      <w:r w:rsidR="007D1EFA">
        <w:rPr>
          <w:rFonts w:ascii="Arial" w:hAnsi="Arial" w:cs="Arial"/>
          <w:sz w:val="20"/>
          <w:szCs w:val="20"/>
        </w:rPr>
        <w:t>assignments had been sent a notification.</w:t>
      </w:r>
    </w:p>
    <w:p w:rsidR="00E2420F" w:rsidRDefault="00E2420F" w:rsidP="00083856">
      <w:pPr>
        <w:numPr>
          <w:ilvl w:val="1"/>
          <w:numId w:val="4"/>
        </w:numPr>
        <w:rPr>
          <w:rFonts w:ascii="Arial" w:hAnsi="Arial" w:cs="Arial"/>
          <w:sz w:val="20"/>
          <w:szCs w:val="20"/>
        </w:rPr>
      </w:pPr>
      <w:r>
        <w:rPr>
          <w:rFonts w:ascii="Arial" w:hAnsi="Arial" w:cs="Arial"/>
          <w:sz w:val="20"/>
          <w:szCs w:val="20"/>
        </w:rPr>
        <w:t>There are 51 assignees of 555 resources that are refusing to return the 555 resource</w:t>
      </w:r>
    </w:p>
    <w:p w:rsidR="00B27F5A" w:rsidRPr="00C80A56" w:rsidRDefault="00B27F5A" w:rsidP="00B27F5A">
      <w:pPr>
        <w:numPr>
          <w:ilvl w:val="0"/>
          <w:numId w:val="4"/>
        </w:numPr>
        <w:rPr>
          <w:rFonts w:ascii="Arial" w:hAnsi="Arial" w:cs="Arial"/>
          <w:sz w:val="20"/>
          <w:szCs w:val="20"/>
        </w:rPr>
      </w:pPr>
      <w:r w:rsidRPr="00C80A56">
        <w:rPr>
          <w:rFonts w:ascii="Arial" w:hAnsi="Arial" w:cs="Arial"/>
          <w:sz w:val="20"/>
          <w:szCs w:val="20"/>
        </w:rPr>
        <w:t xml:space="preserve">Status of Resources - Please see the appropriate tab in the “NANPA Measurements” document attached below for detailed </w:t>
      </w:r>
      <w:r w:rsidR="0046721D" w:rsidRPr="00C80A56">
        <w:rPr>
          <w:rFonts w:ascii="Arial" w:hAnsi="Arial" w:cs="Arial"/>
          <w:sz w:val="20"/>
          <w:szCs w:val="20"/>
        </w:rPr>
        <w:t>information on Other Resources</w:t>
      </w:r>
      <w:r w:rsidR="000B2BF6">
        <w:rPr>
          <w:rFonts w:ascii="Arial" w:hAnsi="Arial" w:cs="Arial"/>
          <w:sz w:val="20"/>
          <w:szCs w:val="20"/>
        </w:rPr>
        <w:t>.</w:t>
      </w:r>
    </w:p>
    <w:p w:rsidR="00162A77" w:rsidRDefault="00162A77" w:rsidP="009667CF">
      <w:pPr>
        <w:pStyle w:val="ListParagraph"/>
        <w:ind w:left="360"/>
        <w:rPr>
          <w:rFonts w:ascii="Arial" w:hAnsi="Arial" w:cs="Arial"/>
          <w:sz w:val="20"/>
          <w:szCs w:val="20"/>
        </w:rPr>
      </w:pPr>
    </w:p>
    <w:p w:rsidR="00E2420F" w:rsidRDefault="00E2420F" w:rsidP="009667CF">
      <w:pPr>
        <w:pStyle w:val="ListParagraph"/>
        <w:ind w:left="360"/>
        <w:rPr>
          <w:rFonts w:ascii="Arial" w:hAnsi="Arial" w:cs="Arial"/>
          <w:sz w:val="20"/>
          <w:szCs w:val="20"/>
        </w:rPr>
      </w:pPr>
    </w:p>
    <w:p w:rsidR="00E2420F" w:rsidRDefault="00E2420F" w:rsidP="009667CF">
      <w:pPr>
        <w:pStyle w:val="ListParagraph"/>
        <w:ind w:left="360"/>
        <w:rPr>
          <w:rFonts w:ascii="Arial" w:hAnsi="Arial" w:cs="Arial"/>
          <w:sz w:val="20"/>
          <w:szCs w:val="20"/>
        </w:rPr>
      </w:pPr>
    </w:p>
    <w:p w:rsidR="00E2420F" w:rsidRPr="00162A77" w:rsidRDefault="00E2420F" w:rsidP="009667CF">
      <w:pPr>
        <w:pStyle w:val="ListParagraph"/>
        <w:ind w:left="360"/>
        <w:rPr>
          <w:rFonts w:ascii="Arial" w:hAnsi="Arial" w:cs="Arial"/>
          <w:sz w:val="20"/>
          <w:szCs w:val="20"/>
        </w:rPr>
      </w:pPr>
    </w:p>
    <w:p w:rsidR="00E2420F" w:rsidRDefault="00E2420F" w:rsidP="00CF3D52">
      <w:pPr>
        <w:pStyle w:val="Heading1"/>
        <w:rPr>
          <w:rFonts w:ascii="Arial" w:hAnsi="Arial" w:cs="Arial"/>
          <w:sz w:val="20"/>
          <w:szCs w:val="20"/>
          <w:u w:val="single"/>
        </w:rPr>
      </w:pPr>
      <w:bookmarkStart w:id="7" w:name="_Toc320540187"/>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Numbering Resource Utilization/Forecasting (NRUF)</w:t>
      </w:r>
      <w:bookmarkEnd w:id="7"/>
    </w:p>
    <w:p w:rsidR="00935BCB" w:rsidRPr="00656185" w:rsidRDefault="00935BCB" w:rsidP="00F27D26">
      <w:pPr>
        <w:numPr>
          <w:ilvl w:val="0"/>
          <w:numId w:val="7"/>
        </w:numPr>
        <w:rPr>
          <w:rFonts w:ascii="Arial" w:hAnsi="Arial" w:cs="Arial"/>
          <w:sz w:val="20"/>
          <w:szCs w:val="20"/>
        </w:rPr>
      </w:pPr>
      <w:r w:rsidRPr="00656185">
        <w:rPr>
          <w:rFonts w:ascii="Arial" w:hAnsi="Arial" w:cs="Arial"/>
          <w:sz w:val="20"/>
          <w:szCs w:val="20"/>
        </w:rPr>
        <w:t xml:space="preserve">Metrics/Benchmarks – All metrics were met for </w:t>
      </w:r>
      <w:r w:rsidR="00E2420F">
        <w:rPr>
          <w:rFonts w:ascii="Arial" w:hAnsi="Arial" w:cs="Arial"/>
          <w:sz w:val="20"/>
          <w:szCs w:val="20"/>
        </w:rPr>
        <w:t>February</w:t>
      </w:r>
    </w:p>
    <w:p w:rsidR="0046721D" w:rsidRPr="0076695A" w:rsidRDefault="00E2420F" w:rsidP="0046721D">
      <w:pPr>
        <w:numPr>
          <w:ilvl w:val="0"/>
          <w:numId w:val="7"/>
        </w:numPr>
        <w:rPr>
          <w:rFonts w:ascii="Arial" w:hAnsi="Arial" w:cs="Arial"/>
          <w:sz w:val="20"/>
          <w:szCs w:val="20"/>
        </w:rPr>
      </w:pPr>
      <w:r>
        <w:rPr>
          <w:rFonts w:ascii="Arial" w:hAnsi="Arial" w:cs="Arial"/>
          <w:sz w:val="20"/>
          <w:szCs w:val="20"/>
        </w:rPr>
        <w:t>1,320</w:t>
      </w:r>
      <w:r w:rsidR="009667CF" w:rsidRPr="0076695A">
        <w:rPr>
          <w:rFonts w:ascii="Arial" w:hAnsi="Arial" w:cs="Arial"/>
          <w:sz w:val="20"/>
          <w:szCs w:val="20"/>
        </w:rPr>
        <w:t xml:space="preserve"> </w:t>
      </w:r>
      <w:r w:rsidR="000E0388" w:rsidRPr="0076695A">
        <w:rPr>
          <w:rFonts w:ascii="Arial" w:hAnsi="Arial" w:cs="Arial"/>
          <w:sz w:val="20"/>
          <w:szCs w:val="20"/>
        </w:rPr>
        <w:t xml:space="preserve">NRUF submissions were received in </w:t>
      </w:r>
      <w:r>
        <w:rPr>
          <w:rFonts w:ascii="Arial" w:hAnsi="Arial" w:cs="Arial"/>
          <w:sz w:val="20"/>
          <w:szCs w:val="20"/>
        </w:rPr>
        <w:t>February</w:t>
      </w:r>
    </w:p>
    <w:p w:rsidR="005A395D" w:rsidRDefault="00E2420F" w:rsidP="005A395D">
      <w:pPr>
        <w:numPr>
          <w:ilvl w:val="1"/>
          <w:numId w:val="7"/>
        </w:numPr>
        <w:rPr>
          <w:rFonts w:ascii="Arial" w:hAnsi="Arial" w:cs="Arial"/>
          <w:sz w:val="20"/>
          <w:szCs w:val="20"/>
        </w:rPr>
      </w:pPr>
      <w:r>
        <w:rPr>
          <w:rFonts w:ascii="Arial" w:hAnsi="Arial" w:cs="Arial"/>
          <w:sz w:val="20"/>
          <w:szCs w:val="20"/>
        </w:rPr>
        <w:t>854</w:t>
      </w:r>
      <w:r w:rsidR="005A395D" w:rsidRPr="0076695A">
        <w:rPr>
          <w:rFonts w:ascii="Arial" w:hAnsi="Arial" w:cs="Arial"/>
          <w:sz w:val="20"/>
          <w:szCs w:val="20"/>
        </w:rPr>
        <w:t xml:space="preserve"> were Email Submissions</w:t>
      </w:r>
    </w:p>
    <w:p w:rsidR="00753480" w:rsidRPr="0076695A" w:rsidRDefault="00E2420F" w:rsidP="005A395D">
      <w:pPr>
        <w:numPr>
          <w:ilvl w:val="1"/>
          <w:numId w:val="7"/>
        </w:numPr>
        <w:rPr>
          <w:rFonts w:ascii="Arial" w:hAnsi="Arial" w:cs="Arial"/>
          <w:sz w:val="20"/>
          <w:szCs w:val="20"/>
        </w:rPr>
      </w:pPr>
      <w:r>
        <w:rPr>
          <w:rFonts w:ascii="Arial" w:hAnsi="Arial" w:cs="Arial"/>
          <w:sz w:val="20"/>
          <w:szCs w:val="20"/>
        </w:rPr>
        <w:t>118</w:t>
      </w:r>
      <w:r w:rsidR="00753480">
        <w:rPr>
          <w:rFonts w:ascii="Arial" w:hAnsi="Arial" w:cs="Arial"/>
          <w:sz w:val="20"/>
          <w:szCs w:val="20"/>
        </w:rPr>
        <w:t xml:space="preserve"> were FTP Submissions</w:t>
      </w:r>
    </w:p>
    <w:p w:rsidR="0076695A" w:rsidRDefault="00E2420F" w:rsidP="005A395D">
      <w:pPr>
        <w:numPr>
          <w:ilvl w:val="1"/>
          <w:numId w:val="7"/>
        </w:numPr>
        <w:rPr>
          <w:rFonts w:ascii="Arial" w:hAnsi="Arial" w:cs="Arial"/>
          <w:sz w:val="20"/>
          <w:szCs w:val="20"/>
        </w:rPr>
      </w:pPr>
      <w:r>
        <w:rPr>
          <w:rFonts w:ascii="Arial" w:hAnsi="Arial" w:cs="Arial"/>
          <w:sz w:val="20"/>
          <w:szCs w:val="20"/>
        </w:rPr>
        <w:t>348</w:t>
      </w:r>
      <w:r w:rsidR="0076695A">
        <w:rPr>
          <w:rFonts w:ascii="Arial" w:hAnsi="Arial" w:cs="Arial"/>
          <w:sz w:val="20"/>
          <w:szCs w:val="20"/>
        </w:rPr>
        <w:t xml:space="preserve"> were Web Submissions</w:t>
      </w:r>
    </w:p>
    <w:p w:rsidR="00753480" w:rsidRDefault="00753480" w:rsidP="00753480">
      <w:pPr>
        <w:numPr>
          <w:ilvl w:val="0"/>
          <w:numId w:val="7"/>
        </w:numPr>
        <w:rPr>
          <w:rFonts w:ascii="Arial" w:hAnsi="Arial" w:cs="Arial"/>
          <w:sz w:val="20"/>
          <w:szCs w:val="20"/>
        </w:rPr>
      </w:pPr>
      <w:r>
        <w:rPr>
          <w:rFonts w:ascii="Arial" w:hAnsi="Arial" w:cs="Arial"/>
          <w:sz w:val="20"/>
          <w:szCs w:val="20"/>
        </w:rPr>
        <w:t xml:space="preserve">There were </w:t>
      </w:r>
      <w:r w:rsidR="002934E2">
        <w:rPr>
          <w:rFonts w:ascii="Arial" w:hAnsi="Arial" w:cs="Arial"/>
          <w:sz w:val="20"/>
          <w:szCs w:val="20"/>
        </w:rPr>
        <w:t>219</w:t>
      </w:r>
      <w:r>
        <w:rPr>
          <w:rFonts w:ascii="Arial" w:hAnsi="Arial" w:cs="Arial"/>
          <w:sz w:val="20"/>
          <w:szCs w:val="20"/>
        </w:rPr>
        <w:t xml:space="preserve"> Error Notifications sent</w:t>
      </w:r>
    </w:p>
    <w:p w:rsidR="004E3DE2" w:rsidRDefault="00B27F5A" w:rsidP="00F27D26">
      <w:pPr>
        <w:numPr>
          <w:ilvl w:val="0"/>
          <w:numId w:val="7"/>
        </w:numPr>
        <w:rPr>
          <w:rFonts w:ascii="Arial" w:hAnsi="Arial" w:cs="Arial"/>
          <w:sz w:val="20"/>
          <w:szCs w:val="20"/>
        </w:rPr>
      </w:pPr>
      <w:r w:rsidRPr="00656185">
        <w:rPr>
          <w:rFonts w:ascii="Arial" w:hAnsi="Arial" w:cs="Arial"/>
          <w:sz w:val="20"/>
          <w:szCs w:val="20"/>
        </w:rPr>
        <w:t>Metrics/Benchmarks – Please see the appropriate t</w:t>
      </w:r>
      <w:r w:rsidR="006B45F5" w:rsidRPr="00656185">
        <w:rPr>
          <w:rFonts w:ascii="Arial" w:hAnsi="Arial" w:cs="Arial"/>
          <w:sz w:val="20"/>
          <w:szCs w:val="20"/>
        </w:rPr>
        <w:t>ab in the “NANPA Measurements</w:t>
      </w:r>
      <w:r w:rsidRPr="00656185">
        <w:rPr>
          <w:rFonts w:ascii="Arial" w:hAnsi="Arial" w:cs="Arial"/>
          <w:sz w:val="20"/>
          <w:szCs w:val="20"/>
        </w:rPr>
        <w:t>” document attached below for detailed information on NRUF Performance Measure</w:t>
      </w:r>
      <w:r w:rsidR="00D16CF8" w:rsidRPr="00656185">
        <w:rPr>
          <w:rFonts w:ascii="Arial" w:hAnsi="Arial" w:cs="Arial"/>
          <w:sz w:val="20"/>
          <w:szCs w:val="20"/>
        </w:rPr>
        <w:t>ments</w:t>
      </w:r>
      <w:r w:rsidR="000B2BF6">
        <w:rPr>
          <w:rFonts w:ascii="Arial" w:hAnsi="Arial" w:cs="Arial"/>
          <w:sz w:val="20"/>
          <w:szCs w:val="20"/>
        </w:rPr>
        <w:t>.</w:t>
      </w:r>
    </w:p>
    <w:p w:rsidR="00F74BAB" w:rsidRDefault="00F74BAB" w:rsidP="00F74BAB">
      <w:pPr>
        <w:pStyle w:val="ListParagraph"/>
        <w:numPr>
          <w:ilvl w:val="0"/>
          <w:numId w:val="7"/>
        </w:numPr>
        <w:contextualSpacing w:val="0"/>
        <w:rPr>
          <w:rFonts w:ascii="Arial" w:hAnsi="Arial" w:cs="Arial"/>
          <w:sz w:val="20"/>
          <w:szCs w:val="20"/>
        </w:rPr>
      </w:pPr>
      <w:r w:rsidRPr="00F74BAB">
        <w:rPr>
          <w:rFonts w:ascii="Arial" w:hAnsi="Arial" w:cs="Arial"/>
          <w:sz w:val="20"/>
          <w:szCs w:val="20"/>
        </w:rPr>
        <w:t xml:space="preserve">NNS notice informing users about the availability of the UMRs as well as NRUF filing tips </w:t>
      </w:r>
      <w:r>
        <w:rPr>
          <w:rFonts w:ascii="Arial" w:hAnsi="Arial" w:cs="Arial"/>
          <w:sz w:val="20"/>
          <w:szCs w:val="20"/>
        </w:rPr>
        <w:t>was distributed on</w:t>
      </w:r>
      <w:r w:rsidRPr="00F74BAB">
        <w:rPr>
          <w:rFonts w:ascii="Arial" w:hAnsi="Arial" w:cs="Arial"/>
          <w:sz w:val="20"/>
          <w:szCs w:val="20"/>
        </w:rPr>
        <w:t xml:space="preserve"> 1/8/16</w:t>
      </w:r>
      <w:r>
        <w:rPr>
          <w:rFonts w:ascii="Arial" w:hAnsi="Arial" w:cs="Arial"/>
          <w:sz w:val="20"/>
          <w:szCs w:val="20"/>
        </w:rPr>
        <w:t xml:space="preserve"> and a reminder notice</w:t>
      </w:r>
      <w:r w:rsidRPr="00F74BAB">
        <w:rPr>
          <w:rFonts w:ascii="Arial" w:hAnsi="Arial" w:cs="Arial"/>
          <w:sz w:val="20"/>
          <w:szCs w:val="20"/>
        </w:rPr>
        <w:t xml:space="preserve"> distributed on 1/20/16.</w:t>
      </w:r>
    </w:p>
    <w:p w:rsidR="002934E2" w:rsidRPr="00F74BAB" w:rsidRDefault="002934E2" w:rsidP="00F74BAB">
      <w:pPr>
        <w:pStyle w:val="ListParagraph"/>
        <w:numPr>
          <w:ilvl w:val="0"/>
          <w:numId w:val="7"/>
        </w:numPr>
        <w:contextualSpacing w:val="0"/>
        <w:rPr>
          <w:rFonts w:ascii="Arial" w:hAnsi="Arial" w:cs="Arial"/>
          <w:sz w:val="20"/>
          <w:szCs w:val="20"/>
        </w:rPr>
      </w:pPr>
      <w:r>
        <w:rPr>
          <w:rFonts w:ascii="Arial" w:hAnsi="Arial" w:cs="Arial"/>
          <w:sz w:val="20"/>
          <w:szCs w:val="20"/>
        </w:rPr>
        <w:t>Missing utilization notification were sent to service providers that did not file for all of the CO codes and/or thousands-blocks in their inventories.</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Default="00306B13" w:rsidP="00306B13"/>
    <w:p w:rsidR="00733B0E" w:rsidRPr="00306B13" w:rsidRDefault="00581F02" w:rsidP="00306B13">
      <w:r>
        <w:object w:dxaOrig="1551" w:dyaOrig="1004">
          <v:shape id="_x0000_i1026" type="#_x0000_t75" style="width:77.25pt;height:50.25pt" o:ole="">
            <v:imagedata r:id="rId10" o:title=""/>
          </v:shape>
          <o:OLEObject Type="Embed" ProgID="Excel.Sheet.12" ShapeID="_x0000_i1026" DrawAspect="Icon" ObjectID="_1520169560" r:id="rId11"/>
        </w:object>
      </w:r>
    </w:p>
    <w:p w:rsidR="007F4B46" w:rsidRPr="00DE2705" w:rsidRDefault="007F4B46" w:rsidP="00CF3D52">
      <w:pPr>
        <w:pStyle w:val="Heading1"/>
        <w:rPr>
          <w:rFonts w:ascii="Arial" w:hAnsi="Arial" w:cs="Arial"/>
          <w:sz w:val="20"/>
          <w:szCs w:val="20"/>
          <w:u w:val="single"/>
        </w:rPr>
      </w:pPr>
      <w:bookmarkStart w:id="8" w:name="_Toc320540188"/>
      <w:r w:rsidRPr="00DE2705">
        <w:rPr>
          <w:rFonts w:ascii="Arial" w:hAnsi="Arial" w:cs="Arial"/>
          <w:sz w:val="20"/>
          <w:szCs w:val="20"/>
          <w:u w:val="single"/>
        </w:rPr>
        <w:t>NPA Relief Planning</w:t>
      </w:r>
      <w:bookmarkEnd w:id="8"/>
    </w:p>
    <w:p w:rsidR="002239F4" w:rsidRPr="008C111B" w:rsidRDefault="00042717" w:rsidP="00042717">
      <w:pPr>
        <w:numPr>
          <w:ilvl w:val="0"/>
          <w:numId w:val="2"/>
        </w:numPr>
        <w:tabs>
          <w:tab w:val="num" w:pos="-1820"/>
        </w:tabs>
        <w:ind w:left="360"/>
        <w:rPr>
          <w:rFonts w:ascii="Arial" w:hAnsi="Arial" w:cs="Arial"/>
          <w:sz w:val="20"/>
          <w:szCs w:val="20"/>
        </w:rPr>
      </w:pPr>
      <w:r w:rsidRPr="008C111B">
        <w:rPr>
          <w:rFonts w:ascii="Arial" w:hAnsi="Arial" w:cs="Arial"/>
          <w:sz w:val="20"/>
          <w:szCs w:val="20"/>
        </w:rPr>
        <w:t>Metrics/Benchmarks – Please see the appropriate t</w:t>
      </w:r>
      <w:r w:rsidR="006B45F5" w:rsidRPr="008C111B">
        <w:rPr>
          <w:rFonts w:ascii="Arial" w:hAnsi="Arial" w:cs="Arial"/>
          <w:sz w:val="20"/>
          <w:szCs w:val="20"/>
        </w:rPr>
        <w:t>ab in the “NANPA Measurements</w:t>
      </w:r>
      <w:r w:rsidRPr="008C111B">
        <w:rPr>
          <w:rFonts w:ascii="Arial" w:hAnsi="Arial" w:cs="Arial"/>
          <w:sz w:val="20"/>
          <w:szCs w:val="20"/>
        </w:rPr>
        <w:t>” document detailed information on NPA Relief Planning, Monthly Performance Measurements.</w:t>
      </w:r>
    </w:p>
    <w:p w:rsidR="00042717" w:rsidRDefault="00D17638" w:rsidP="00042717">
      <w:pPr>
        <w:numPr>
          <w:ilvl w:val="0"/>
          <w:numId w:val="2"/>
        </w:numPr>
        <w:tabs>
          <w:tab w:val="num" w:pos="-1820"/>
        </w:tabs>
        <w:ind w:left="360"/>
        <w:rPr>
          <w:rFonts w:ascii="Arial" w:hAnsi="Arial" w:cs="Arial"/>
          <w:sz w:val="20"/>
          <w:szCs w:val="20"/>
        </w:rPr>
      </w:pPr>
      <w:r w:rsidRPr="008C111B">
        <w:rPr>
          <w:rFonts w:ascii="Arial" w:hAnsi="Arial" w:cs="Arial"/>
          <w:sz w:val="20"/>
          <w:szCs w:val="20"/>
        </w:rPr>
        <w:t xml:space="preserve">All metrics for </w:t>
      </w:r>
      <w:r w:rsidR="00581F02">
        <w:rPr>
          <w:rFonts w:ascii="Arial" w:hAnsi="Arial" w:cs="Arial"/>
          <w:sz w:val="20"/>
          <w:szCs w:val="20"/>
        </w:rPr>
        <w:t xml:space="preserve">February </w:t>
      </w:r>
      <w:r w:rsidR="001871EC" w:rsidRPr="008C111B">
        <w:rPr>
          <w:rFonts w:ascii="Arial" w:hAnsi="Arial" w:cs="Arial"/>
          <w:sz w:val="20"/>
          <w:szCs w:val="20"/>
        </w:rPr>
        <w:t>were met.</w:t>
      </w:r>
    </w:p>
    <w:p w:rsidR="000A789D" w:rsidRDefault="009819FB" w:rsidP="000A789D">
      <w:pPr>
        <w:numPr>
          <w:ilvl w:val="0"/>
          <w:numId w:val="7"/>
        </w:numPr>
        <w:rPr>
          <w:rFonts w:ascii="Arial" w:hAnsi="Arial" w:cs="Arial"/>
          <w:sz w:val="20"/>
          <w:szCs w:val="20"/>
        </w:rPr>
      </w:pPr>
      <w:r>
        <w:rPr>
          <w:rFonts w:ascii="Arial" w:hAnsi="Arial" w:cs="Arial"/>
          <w:sz w:val="20"/>
          <w:szCs w:val="20"/>
        </w:rPr>
        <w:t>CA</w:t>
      </w:r>
    </w:p>
    <w:p w:rsidR="000A789D" w:rsidRDefault="009819FB" w:rsidP="000A789D">
      <w:pPr>
        <w:numPr>
          <w:ilvl w:val="1"/>
          <w:numId w:val="7"/>
        </w:numPr>
        <w:rPr>
          <w:rFonts w:ascii="Arial" w:hAnsi="Arial" w:cs="Arial"/>
          <w:sz w:val="20"/>
          <w:szCs w:val="20"/>
        </w:rPr>
      </w:pPr>
      <w:r>
        <w:rPr>
          <w:rFonts w:ascii="Arial" w:hAnsi="Arial" w:cs="Arial"/>
          <w:sz w:val="20"/>
          <w:szCs w:val="20"/>
        </w:rPr>
        <w:t>323 NPA – assisted CPUC staff with questions from the ALJ on 323 relief</w:t>
      </w:r>
    </w:p>
    <w:p w:rsidR="009819FB" w:rsidRDefault="009819FB" w:rsidP="000A789D">
      <w:pPr>
        <w:numPr>
          <w:ilvl w:val="1"/>
          <w:numId w:val="7"/>
        </w:numPr>
        <w:rPr>
          <w:rFonts w:ascii="Arial" w:hAnsi="Arial" w:cs="Arial"/>
          <w:sz w:val="20"/>
          <w:szCs w:val="20"/>
        </w:rPr>
      </w:pPr>
      <w:r>
        <w:rPr>
          <w:rFonts w:ascii="Arial" w:hAnsi="Arial" w:cs="Arial"/>
          <w:sz w:val="20"/>
          <w:szCs w:val="20"/>
        </w:rPr>
        <w:t>Provided answers to CPUC staff from AJ questions on the last split</w:t>
      </w:r>
    </w:p>
    <w:p w:rsidR="009819FB" w:rsidRDefault="009819FB" w:rsidP="000A789D">
      <w:pPr>
        <w:numPr>
          <w:ilvl w:val="1"/>
          <w:numId w:val="7"/>
        </w:numPr>
        <w:rPr>
          <w:rFonts w:ascii="Arial" w:hAnsi="Arial" w:cs="Arial"/>
          <w:sz w:val="20"/>
          <w:szCs w:val="20"/>
        </w:rPr>
      </w:pPr>
      <w:r>
        <w:rPr>
          <w:rFonts w:ascii="Arial" w:hAnsi="Arial" w:cs="Arial"/>
          <w:sz w:val="20"/>
          <w:szCs w:val="20"/>
        </w:rPr>
        <w:t>Provided CPUC copies of awareness surveys from last six overlays</w:t>
      </w:r>
    </w:p>
    <w:p w:rsidR="00052FED" w:rsidRDefault="009819FB" w:rsidP="00052FED">
      <w:pPr>
        <w:numPr>
          <w:ilvl w:val="0"/>
          <w:numId w:val="7"/>
        </w:numPr>
        <w:rPr>
          <w:rFonts w:ascii="Arial" w:hAnsi="Arial" w:cs="Arial"/>
          <w:sz w:val="20"/>
          <w:szCs w:val="20"/>
        </w:rPr>
      </w:pPr>
      <w:r>
        <w:rPr>
          <w:rFonts w:ascii="Arial" w:hAnsi="Arial" w:cs="Arial"/>
          <w:sz w:val="20"/>
          <w:szCs w:val="20"/>
        </w:rPr>
        <w:t>TX</w:t>
      </w:r>
    </w:p>
    <w:p w:rsidR="00052FED" w:rsidRDefault="009819FB" w:rsidP="00052FED">
      <w:pPr>
        <w:numPr>
          <w:ilvl w:val="1"/>
          <w:numId w:val="7"/>
        </w:numPr>
        <w:rPr>
          <w:rFonts w:ascii="Arial" w:hAnsi="Arial" w:cs="Arial"/>
          <w:sz w:val="20"/>
          <w:szCs w:val="20"/>
        </w:rPr>
      </w:pPr>
      <w:r>
        <w:rPr>
          <w:rFonts w:ascii="Arial" w:hAnsi="Arial" w:cs="Arial"/>
          <w:sz w:val="20"/>
          <w:szCs w:val="20"/>
        </w:rPr>
        <w:t xml:space="preserve">210 NPA – provided </w:t>
      </w:r>
      <w:r w:rsidR="005A7A1A">
        <w:rPr>
          <w:rFonts w:ascii="Arial" w:hAnsi="Arial" w:cs="Arial"/>
          <w:sz w:val="20"/>
          <w:szCs w:val="20"/>
        </w:rPr>
        <w:t xml:space="preserve">the TX PUC staff </w:t>
      </w:r>
      <w:r>
        <w:rPr>
          <w:rFonts w:ascii="Arial" w:hAnsi="Arial" w:cs="Arial"/>
          <w:sz w:val="20"/>
          <w:szCs w:val="20"/>
        </w:rPr>
        <w:t xml:space="preserve">the 210 maps that were in the relief petition </w:t>
      </w:r>
      <w:r w:rsidR="005A7A1A">
        <w:rPr>
          <w:rFonts w:ascii="Arial" w:hAnsi="Arial" w:cs="Arial"/>
          <w:sz w:val="20"/>
          <w:szCs w:val="20"/>
        </w:rPr>
        <w:t>and assisted with questions about the 210 petition</w:t>
      </w:r>
    </w:p>
    <w:p w:rsidR="00052FED" w:rsidRDefault="005A7A1A" w:rsidP="00052FED">
      <w:pPr>
        <w:numPr>
          <w:ilvl w:val="0"/>
          <w:numId w:val="7"/>
        </w:numPr>
        <w:rPr>
          <w:rFonts w:ascii="Arial" w:hAnsi="Arial" w:cs="Arial"/>
          <w:sz w:val="20"/>
          <w:szCs w:val="20"/>
        </w:rPr>
      </w:pPr>
      <w:r>
        <w:rPr>
          <w:rFonts w:ascii="Arial" w:hAnsi="Arial" w:cs="Arial"/>
          <w:sz w:val="20"/>
          <w:szCs w:val="20"/>
        </w:rPr>
        <w:t>PA</w:t>
      </w:r>
    </w:p>
    <w:p w:rsidR="0098317C" w:rsidRDefault="005A7A1A" w:rsidP="0098317C">
      <w:pPr>
        <w:numPr>
          <w:ilvl w:val="1"/>
          <w:numId w:val="7"/>
        </w:numPr>
        <w:rPr>
          <w:rFonts w:ascii="Arial" w:hAnsi="Arial" w:cs="Arial"/>
          <w:sz w:val="20"/>
          <w:szCs w:val="20"/>
        </w:rPr>
      </w:pPr>
      <w:r>
        <w:rPr>
          <w:rFonts w:ascii="Arial" w:hAnsi="Arial" w:cs="Arial"/>
          <w:sz w:val="20"/>
          <w:szCs w:val="20"/>
        </w:rPr>
        <w:t>717 NPA – discussed potential implementation activities for the 717 NPA relief with the PA PUC staff</w:t>
      </w:r>
    </w:p>
    <w:p w:rsidR="00AA6DC8" w:rsidRDefault="0098317C" w:rsidP="0098317C">
      <w:pPr>
        <w:ind w:left="1080"/>
        <w:rPr>
          <w:rFonts w:ascii="Arial" w:hAnsi="Arial" w:cs="Arial"/>
          <w:sz w:val="20"/>
          <w:szCs w:val="20"/>
        </w:rPr>
      </w:pPr>
      <w:r>
        <w:rPr>
          <w:rFonts w:ascii="Arial" w:hAnsi="Arial" w:cs="Arial"/>
          <w:sz w:val="20"/>
          <w:szCs w:val="20"/>
        </w:rPr>
        <w:t xml:space="preserve"> </w:t>
      </w:r>
    </w:p>
    <w:p w:rsidR="00F62C1C" w:rsidRDefault="00F62C1C" w:rsidP="00F62C1C">
      <w:pPr>
        <w:rPr>
          <w:rFonts w:ascii="Arial" w:hAnsi="Arial" w:cs="Arial"/>
          <w:sz w:val="20"/>
          <w:szCs w:val="20"/>
        </w:rPr>
      </w:pPr>
      <w:r w:rsidRPr="008C111B">
        <w:rPr>
          <w:rFonts w:ascii="Arial" w:hAnsi="Arial" w:cs="Arial"/>
          <w:sz w:val="20"/>
          <w:szCs w:val="20"/>
        </w:rPr>
        <w:t>See following document for details of activities of NANPA relief planners.</w:t>
      </w:r>
    </w:p>
    <w:p w:rsidR="00F14213" w:rsidRPr="00F14213" w:rsidRDefault="00F14213" w:rsidP="00F14213">
      <w:pPr>
        <w:rPr>
          <w:rFonts w:ascii="Arial" w:hAnsi="Arial" w:cs="Arial"/>
          <w:sz w:val="20"/>
          <w:szCs w:val="20"/>
        </w:rPr>
      </w:pPr>
    </w:p>
    <w:bookmarkStart w:id="9" w:name="_MON_1520161034"/>
    <w:bookmarkEnd w:id="9"/>
    <w:p w:rsidR="006B45F5" w:rsidRPr="00DE2705" w:rsidRDefault="005A7A1A" w:rsidP="006B45F5">
      <w:pPr>
        <w:rPr>
          <w:rFonts w:ascii="Arial" w:hAnsi="Arial" w:cs="Arial"/>
          <w:sz w:val="20"/>
          <w:szCs w:val="20"/>
        </w:rPr>
      </w:pPr>
      <w:r>
        <w:rPr>
          <w:rFonts w:ascii="Arial" w:hAnsi="Arial" w:cs="Arial"/>
          <w:sz w:val="20"/>
          <w:szCs w:val="20"/>
        </w:rPr>
        <w:object w:dxaOrig="1551" w:dyaOrig="1004">
          <v:shape id="_x0000_i1027" type="#_x0000_t75" style="width:77.25pt;height:50.25pt" o:ole="">
            <v:imagedata r:id="rId12" o:title=""/>
          </v:shape>
          <o:OLEObject Type="Embed" ProgID="Word.Document.8" ShapeID="_x0000_i1027" DrawAspect="Icon" ObjectID="_1520169561" r:id="rId13">
            <o:FieldCodes>\s</o:FieldCodes>
          </o:OLEObject>
        </w:object>
      </w:r>
    </w:p>
    <w:p w:rsidR="007F4B46" w:rsidRDefault="00310198" w:rsidP="00CF3D52">
      <w:pPr>
        <w:pStyle w:val="Heading1"/>
        <w:rPr>
          <w:rFonts w:ascii="Arial" w:hAnsi="Arial" w:cs="Arial"/>
          <w:sz w:val="20"/>
          <w:szCs w:val="20"/>
          <w:u w:val="single"/>
        </w:rPr>
      </w:pPr>
      <w:bookmarkStart w:id="10"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0"/>
    </w:p>
    <w:p w:rsidR="004630CC" w:rsidRPr="004630CC" w:rsidRDefault="008D55EA" w:rsidP="004630CC">
      <w:r>
        <w:t>No new INC activities reported</w:t>
      </w:r>
    </w:p>
    <w:p w:rsidR="007F4B46" w:rsidRDefault="007F4B46" w:rsidP="00CF3D52">
      <w:pPr>
        <w:pStyle w:val="Heading1"/>
        <w:rPr>
          <w:rFonts w:ascii="Arial" w:hAnsi="Arial" w:cs="Arial"/>
          <w:sz w:val="20"/>
          <w:szCs w:val="20"/>
          <w:u w:val="single"/>
        </w:rPr>
      </w:pPr>
      <w:bookmarkStart w:id="11"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325753" w:rsidRDefault="00733955" w:rsidP="00733955">
      <w:pPr>
        <w:pStyle w:val="ListParagraph"/>
        <w:numPr>
          <w:ilvl w:val="0"/>
          <w:numId w:val="40"/>
        </w:numPr>
        <w:rPr>
          <w:rFonts w:ascii="Arial" w:hAnsi="Arial" w:cs="Arial"/>
          <w:sz w:val="20"/>
          <w:szCs w:val="20"/>
        </w:rPr>
      </w:pPr>
      <w:bookmarkStart w:id="12" w:name="_Toc320540191"/>
      <w:r w:rsidRPr="001150A1">
        <w:rPr>
          <w:rFonts w:ascii="Arial" w:hAnsi="Arial" w:cs="Arial"/>
          <w:sz w:val="20"/>
          <w:szCs w:val="20"/>
        </w:rPr>
        <w:t xml:space="preserve">NANPA responded to </w:t>
      </w:r>
      <w:r w:rsidR="00581F02">
        <w:rPr>
          <w:rFonts w:ascii="Arial" w:hAnsi="Arial" w:cs="Arial"/>
          <w:sz w:val="20"/>
          <w:szCs w:val="20"/>
        </w:rPr>
        <w:t>14</w:t>
      </w:r>
      <w:r w:rsidRPr="001150A1">
        <w:rPr>
          <w:rFonts w:ascii="Arial" w:hAnsi="Arial" w:cs="Arial"/>
          <w:sz w:val="20"/>
          <w:szCs w:val="20"/>
        </w:rPr>
        <w:t xml:space="preserve"> NANPA feedback emails </w:t>
      </w:r>
      <w:r w:rsidR="00DC715C">
        <w:rPr>
          <w:rFonts w:ascii="Arial" w:hAnsi="Arial" w:cs="Arial"/>
          <w:sz w:val="20"/>
          <w:szCs w:val="20"/>
        </w:rPr>
        <w:t xml:space="preserve">in </w:t>
      </w:r>
      <w:r w:rsidR="00581F02">
        <w:rPr>
          <w:rFonts w:ascii="Arial" w:hAnsi="Arial" w:cs="Arial"/>
          <w:sz w:val="20"/>
          <w:szCs w:val="20"/>
        </w:rPr>
        <w:t>February</w:t>
      </w:r>
      <w:r w:rsidR="005B73A2" w:rsidRPr="001150A1">
        <w:rPr>
          <w:rFonts w:ascii="Arial" w:hAnsi="Arial" w:cs="Arial"/>
          <w:sz w:val="20"/>
          <w:szCs w:val="20"/>
        </w:rPr>
        <w:t>.</w:t>
      </w:r>
    </w:p>
    <w:p w:rsidR="008C6D1B" w:rsidRPr="00F06395" w:rsidRDefault="009819FB" w:rsidP="00F06395">
      <w:pPr>
        <w:numPr>
          <w:ilvl w:val="0"/>
          <w:numId w:val="40"/>
        </w:numPr>
        <w:rPr>
          <w:rFonts w:ascii="Arial" w:hAnsi="Arial" w:cs="Arial"/>
          <w:sz w:val="20"/>
          <w:szCs w:val="20"/>
        </w:rPr>
      </w:pPr>
      <w:r>
        <w:rPr>
          <w:rFonts w:ascii="Arial" w:hAnsi="Arial" w:cs="Arial"/>
          <w:sz w:val="20"/>
          <w:szCs w:val="20"/>
        </w:rPr>
        <w:t>Participated in call with Pooling Administrator and state commission staff members.  Reviewed the FCC’s authorization process for interconnected VoIP providers and the 30 day notification requirements to state commissions.</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lastRenderedPageBreak/>
        <w:t>Action Item Review</w:t>
      </w:r>
      <w:bookmarkEnd w:id="12"/>
    </w:p>
    <w:p w:rsidR="007F4B46" w:rsidRDefault="00F31D18" w:rsidP="00F81DF8">
      <w:pPr>
        <w:rPr>
          <w:rFonts w:ascii="Arial" w:hAnsi="Arial" w:cs="Arial"/>
          <w:sz w:val="20"/>
          <w:szCs w:val="20"/>
        </w:rPr>
      </w:pPr>
      <w:r>
        <w:rPr>
          <w:rFonts w:ascii="Arial" w:hAnsi="Arial" w:cs="Arial"/>
          <w:sz w:val="20"/>
          <w:szCs w:val="20"/>
        </w:rPr>
        <w:t>N/A</w:t>
      </w:r>
    </w:p>
    <w:p w:rsidR="00F31D18" w:rsidRDefault="00F31D18" w:rsidP="009F4DB3">
      <w:pPr>
        <w:rPr>
          <w:rFonts w:ascii="Arial" w:hAnsi="Arial" w:cs="Arial"/>
          <w:b/>
          <w:sz w:val="20"/>
          <w:szCs w:val="20"/>
          <w:u w:val="single"/>
        </w:rPr>
      </w:pPr>
    </w:p>
    <w:p w:rsidR="009F4DB3" w:rsidRDefault="008E0D0B" w:rsidP="009F4DB3">
      <w:pPr>
        <w:rPr>
          <w:rFonts w:ascii="Arial" w:hAnsi="Arial" w:cs="Arial"/>
          <w:b/>
          <w:sz w:val="20"/>
          <w:szCs w:val="20"/>
          <w:u w:val="single"/>
        </w:rPr>
      </w:pPr>
      <w:r>
        <w:rPr>
          <w:rFonts w:ascii="Arial" w:hAnsi="Arial" w:cs="Arial"/>
          <w:b/>
          <w:sz w:val="20"/>
          <w:szCs w:val="20"/>
          <w:u w:val="single"/>
        </w:rPr>
        <w:t>Open Discussion</w:t>
      </w:r>
    </w:p>
    <w:p w:rsidR="007E257A" w:rsidRDefault="007E257A" w:rsidP="007E257A">
      <w:pPr>
        <w:pStyle w:val="ListParagraph"/>
        <w:ind w:left="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8D55EA" w:rsidP="007C1559">
      <w:pPr>
        <w:numPr>
          <w:ilvl w:val="0"/>
          <w:numId w:val="8"/>
        </w:numPr>
        <w:rPr>
          <w:rFonts w:ascii="Arial" w:hAnsi="Arial" w:cs="Arial"/>
          <w:sz w:val="20"/>
          <w:szCs w:val="20"/>
        </w:rPr>
      </w:pPr>
      <w:r>
        <w:rPr>
          <w:rFonts w:ascii="Arial" w:hAnsi="Arial" w:cs="Arial"/>
          <w:sz w:val="20"/>
          <w:szCs w:val="20"/>
        </w:rPr>
        <w:t xml:space="preserve">April 15, </w:t>
      </w:r>
      <w:r w:rsidR="004657E2">
        <w:rPr>
          <w:rFonts w:ascii="Arial" w:hAnsi="Arial" w:cs="Arial"/>
          <w:sz w:val="20"/>
          <w:szCs w:val="20"/>
        </w:rPr>
        <w:t>4</w:t>
      </w:r>
      <w:r>
        <w:rPr>
          <w:rFonts w:ascii="Arial" w:hAnsi="Arial" w:cs="Arial"/>
          <w:sz w:val="20"/>
          <w:szCs w:val="20"/>
        </w:rPr>
        <w:t>:00 p.m. ET</w:t>
      </w:r>
    </w:p>
    <w:sectPr w:rsidR="007C1559" w:rsidSect="00BC6156">
      <w:headerReference w:type="default" r:id="rId14"/>
      <w:footerReference w:type="default" r:id="rId15"/>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9A" w:rsidRDefault="00A9069A" w:rsidP="00CF3D52">
      <w:r>
        <w:separator/>
      </w:r>
    </w:p>
  </w:endnote>
  <w:endnote w:type="continuationSeparator" w:id="0">
    <w:p w:rsidR="00A9069A" w:rsidRDefault="00A9069A"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D01B94">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D01B94">
      <w:rPr>
        <w:b/>
        <w:noProof/>
      </w:rPr>
      <w:t>5</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9A" w:rsidRDefault="00A9069A" w:rsidP="00CF3D52">
      <w:r>
        <w:separator/>
      </w:r>
    </w:p>
  </w:footnote>
  <w:footnote w:type="continuationSeparator" w:id="0">
    <w:p w:rsidR="00A9069A" w:rsidRDefault="00A9069A"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810EF0" w:rsidP="00CF3D52">
    <w:pPr>
      <w:jc w:val="center"/>
      <w:rPr>
        <w:rStyle w:val="Strong"/>
        <w:rFonts w:ascii="Arial" w:hAnsi="Arial" w:cs="Arial"/>
        <w:sz w:val="20"/>
        <w:szCs w:val="20"/>
      </w:rPr>
    </w:pPr>
    <w:r>
      <w:rPr>
        <w:rStyle w:val="Strong"/>
        <w:rFonts w:ascii="Arial" w:hAnsi="Arial" w:cs="Arial"/>
        <w:sz w:val="20"/>
        <w:szCs w:val="20"/>
      </w:rPr>
      <w:t>March 15</w:t>
    </w:r>
    <w:r w:rsidR="00987190">
      <w:rPr>
        <w:rStyle w:val="Strong"/>
        <w:rFonts w:ascii="Arial" w:hAnsi="Arial" w:cs="Arial"/>
        <w:sz w:val="20"/>
        <w:szCs w:val="20"/>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3B2"/>
    <w:multiLevelType w:val="hybridMultilevel"/>
    <w:tmpl w:val="F32A5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A5A3E0B"/>
    <w:multiLevelType w:val="hybridMultilevel"/>
    <w:tmpl w:val="F804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41A43"/>
    <w:multiLevelType w:val="hybridMultilevel"/>
    <w:tmpl w:val="71BCB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317"/>
    <w:multiLevelType w:val="hybridMultilevel"/>
    <w:tmpl w:val="B4EC57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73AFC"/>
    <w:multiLevelType w:val="hybridMultilevel"/>
    <w:tmpl w:val="FF12E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F75D5"/>
    <w:multiLevelType w:val="hybridMultilevel"/>
    <w:tmpl w:val="490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B5051"/>
    <w:multiLevelType w:val="hybridMultilevel"/>
    <w:tmpl w:val="F9723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6606D3"/>
    <w:multiLevelType w:val="multilevel"/>
    <w:tmpl w:val="00CE52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0A87C4D"/>
    <w:multiLevelType w:val="hybridMultilevel"/>
    <w:tmpl w:val="E96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21ABA"/>
    <w:multiLevelType w:val="hybridMultilevel"/>
    <w:tmpl w:val="F812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B731C52"/>
    <w:multiLevelType w:val="hybridMultilevel"/>
    <w:tmpl w:val="49F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2669"/>
    <w:multiLevelType w:val="hybridMultilevel"/>
    <w:tmpl w:val="96DE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F1155"/>
    <w:multiLevelType w:val="hybridMultilevel"/>
    <w:tmpl w:val="570C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D542BE"/>
    <w:multiLevelType w:val="hybridMultilevel"/>
    <w:tmpl w:val="7B3AE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B40BBF"/>
    <w:multiLevelType w:val="hybridMultilevel"/>
    <w:tmpl w:val="AAD2C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7753F50"/>
    <w:multiLevelType w:val="hybridMultilevel"/>
    <w:tmpl w:val="8F76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211063"/>
    <w:multiLevelType w:val="hybridMultilevel"/>
    <w:tmpl w:val="B2AE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06DD2"/>
    <w:multiLevelType w:val="hybridMultilevel"/>
    <w:tmpl w:val="13EE07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9B6701"/>
    <w:multiLevelType w:val="hybridMultilevel"/>
    <w:tmpl w:val="2C6EE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8617BA"/>
    <w:multiLevelType w:val="hybridMultilevel"/>
    <w:tmpl w:val="54084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03674B3"/>
    <w:multiLevelType w:val="hybridMultilevel"/>
    <w:tmpl w:val="19A2D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352011"/>
    <w:multiLevelType w:val="hybridMultilevel"/>
    <w:tmpl w:val="BBE8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D3424C"/>
    <w:multiLevelType w:val="hybridMultilevel"/>
    <w:tmpl w:val="3A56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2111A0"/>
    <w:multiLevelType w:val="hybridMultilevel"/>
    <w:tmpl w:val="93CA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1497254"/>
    <w:multiLevelType w:val="hybridMultilevel"/>
    <w:tmpl w:val="C5B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382D15"/>
    <w:multiLevelType w:val="hybridMultilevel"/>
    <w:tmpl w:val="ED94F1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38" w15:restartNumberingAfterBreak="0">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15:restartNumberingAfterBreak="0">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CC0CF3"/>
    <w:multiLevelType w:val="hybridMultilevel"/>
    <w:tmpl w:val="0F10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32ADE"/>
    <w:multiLevelType w:val="hybridMultilevel"/>
    <w:tmpl w:val="FFA86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972E94"/>
    <w:multiLevelType w:val="hybridMultilevel"/>
    <w:tmpl w:val="6226A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6"/>
  </w:num>
  <w:num w:numId="3">
    <w:abstractNumId w:val="30"/>
  </w:num>
  <w:num w:numId="4">
    <w:abstractNumId w:val="26"/>
  </w:num>
  <w:num w:numId="5">
    <w:abstractNumId w:val="23"/>
  </w:num>
  <w:num w:numId="6">
    <w:abstractNumId w:val="11"/>
  </w:num>
  <w:num w:numId="7">
    <w:abstractNumId w:val="44"/>
  </w:num>
  <w:num w:numId="8">
    <w:abstractNumId w:val="39"/>
  </w:num>
  <w:num w:numId="9">
    <w:abstractNumId w:val="40"/>
  </w:num>
  <w:num w:numId="10">
    <w:abstractNumId w:val="32"/>
  </w:num>
  <w:num w:numId="11">
    <w:abstractNumId w:val="28"/>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1"/>
  </w:num>
  <w:num w:numId="15">
    <w:abstractNumId w:val="24"/>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7"/>
  </w:num>
  <w:num w:numId="21">
    <w:abstractNumId w:val="29"/>
  </w:num>
  <w:num w:numId="22">
    <w:abstractNumId w:val="1"/>
  </w:num>
  <w:num w:numId="23">
    <w:abstractNumId w:val="31"/>
  </w:num>
  <w:num w:numId="24">
    <w:abstractNumId w:val="20"/>
  </w:num>
  <w:num w:numId="25">
    <w:abstractNumId w:val="17"/>
  </w:num>
  <w:num w:numId="26">
    <w:abstractNumId w:val="42"/>
  </w:num>
  <w:num w:numId="27">
    <w:abstractNumId w:val="10"/>
  </w:num>
  <w:num w:numId="28">
    <w:abstractNumId w:val="6"/>
  </w:num>
  <w:num w:numId="29">
    <w:abstractNumId w:val="9"/>
  </w:num>
  <w:num w:numId="30">
    <w:abstractNumId w:val="19"/>
  </w:num>
  <w:num w:numId="31">
    <w:abstractNumId w:val="22"/>
  </w:num>
  <w:num w:numId="32">
    <w:abstractNumId w:val="8"/>
  </w:num>
  <w:num w:numId="33">
    <w:abstractNumId w:val="35"/>
  </w:num>
  <w:num w:numId="34">
    <w:abstractNumId w:val="15"/>
  </w:num>
  <w:num w:numId="35">
    <w:abstractNumId w:val="13"/>
  </w:num>
  <w:num w:numId="36">
    <w:abstractNumId w:val="14"/>
  </w:num>
  <w:num w:numId="37">
    <w:abstractNumId w:val="0"/>
  </w:num>
  <w:num w:numId="38">
    <w:abstractNumId w:val="43"/>
  </w:num>
  <w:num w:numId="39">
    <w:abstractNumId w:val="3"/>
  </w:num>
  <w:num w:numId="40">
    <w:abstractNumId w:val="25"/>
  </w:num>
  <w:num w:numId="41">
    <w:abstractNumId w:val="2"/>
  </w:num>
  <w:num w:numId="42">
    <w:abstractNumId w:val="5"/>
  </w:num>
  <w:num w:numId="43">
    <w:abstractNumId w:val="4"/>
  </w:num>
  <w:num w:numId="44">
    <w:abstractNumId w:val="7"/>
  </w:num>
  <w:num w:numId="45">
    <w:abstractNumId w:val="21"/>
  </w:num>
  <w:num w:numId="46">
    <w:abstractNumId w:val="33"/>
  </w:num>
  <w:num w:numId="47">
    <w:abstractNumId w:val="45"/>
  </w:num>
  <w:num w:numId="48">
    <w:abstractNumId w:val="18"/>
  </w:num>
  <w:num w:numId="49">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83"/>
    <w:rsid w:val="00000837"/>
    <w:rsid w:val="00001132"/>
    <w:rsid w:val="00002D72"/>
    <w:rsid w:val="00003405"/>
    <w:rsid w:val="00003E79"/>
    <w:rsid w:val="000050B8"/>
    <w:rsid w:val="0000561B"/>
    <w:rsid w:val="00011129"/>
    <w:rsid w:val="000119C8"/>
    <w:rsid w:val="00011AEE"/>
    <w:rsid w:val="00012495"/>
    <w:rsid w:val="000137F8"/>
    <w:rsid w:val="00015DF2"/>
    <w:rsid w:val="00017B0F"/>
    <w:rsid w:val="00017B8D"/>
    <w:rsid w:val="000205CC"/>
    <w:rsid w:val="00022121"/>
    <w:rsid w:val="00024B5F"/>
    <w:rsid w:val="0002501A"/>
    <w:rsid w:val="00025210"/>
    <w:rsid w:val="000255E7"/>
    <w:rsid w:val="000264E5"/>
    <w:rsid w:val="000267BD"/>
    <w:rsid w:val="000277E9"/>
    <w:rsid w:val="00027AD1"/>
    <w:rsid w:val="00030020"/>
    <w:rsid w:val="0003034F"/>
    <w:rsid w:val="0003166A"/>
    <w:rsid w:val="00032617"/>
    <w:rsid w:val="0003270C"/>
    <w:rsid w:val="00032CC7"/>
    <w:rsid w:val="00032E19"/>
    <w:rsid w:val="00032E9A"/>
    <w:rsid w:val="0003442C"/>
    <w:rsid w:val="00035E62"/>
    <w:rsid w:val="00036808"/>
    <w:rsid w:val="00036A03"/>
    <w:rsid w:val="00036B30"/>
    <w:rsid w:val="00036C07"/>
    <w:rsid w:val="00037E68"/>
    <w:rsid w:val="000418A1"/>
    <w:rsid w:val="000426F4"/>
    <w:rsid w:val="00042717"/>
    <w:rsid w:val="00044BCE"/>
    <w:rsid w:val="00047BFB"/>
    <w:rsid w:val="0005076F"/>
    <w:rsid w:val="00051362"/>
    <w:rsid w:val="000514C6"/>
    <w:rsid w:val="00052FED"/>
    <w:rsid w:val="00053880"/>
    <w:rsid w:val="00053EAE"/>
    <w:rsid w:val="00054047"/>
    <w:rsid w:val="0005420A"/>
    <w:rsid w:val="000569B9"/>
    <w:rsid w:val="00056FD0"/>
    <w:rsid w:val="000578A2"/>
    <w:rsid w:val="00057FDE"/>
    <w:rsid w:val="000609B1"/>
    <w:rsid w:val="000613D8"/>
    <w:rsid w:val="0006444B"/>
    <w:rsid w:val="00065223"/>
    <w:rsid w:val="00067587"/>
    <w:rsid w:val="00067D16"/>
    <w:rsid w:val="0007146F"/>
    <w:rsid w:val="000715D4"/>
    <w:rsid w:val="00071EE2"/>
    <w:rsid w:val="000729F8"/>
    <w:rsid w:val="00073DA9"/>
    <w:rsid w:val="0007407B"/>
    <w:rsid w:val="00074E43"/>
    <w:rsid w:val="00075893"/>
    <w:rsid w:val="00075CAD"/>
    <w:rsid w:val="00076604"/>
    <w:rsid w:val="00076D53"/>
    <w:rsid w:val="00077533"/>
    <w:rsid w:val="00077B9D"/>
    <w:rsid w:val="00080451"/>
    <w:rsid w:val="00080E9C"/>
    <w:rsid w:val="00080F62"/>
    <w:rsid w:val="0008122F"/>
    <w:rsid w:val="000816AC"/>
    <w:rsid w:val="000828FC"/>
    <w:rsid w:val="00083385"/>
    <w:rsid w:val="00083856"/>
    <w:rsid w:val="00083B3B"/>
    <w:rsid w:val="00085551"/>
    <w:rsid w:val="000866D8"/>
    <w:rsid w:val="00087915"/>
    <w:rsid w:val="00087CA6"/>
    <w:rsid w:val="00090982"/>
    <w:rsid w:val="00096E7E"/>
    <w:rsid w:val="0009728C"/>
    <w:rsid w:val="00097861"/>
    <w:rsid w:val="000A2200"/>
    <w:rsid w:val="000A3B8C"/>
    <w:rsid w:val="000A42E5"/>
    <w:rsid w:val="000A4C23"/>
    <w:rsid w:val="000A6251"/>
    <w:rsid w:val="000A6B56"/>
    <w:rsid w:val="000A6F7C"/>
    <w:rsid w:val="000A7472"/>
    <w:rsid w:val="000A756A"/>
    <w:rsid w:val="000A789D"/>
    <w:rsid w:val="000A7DBC"/>
    <w:rsid w:val="000B1CA0"/>
    <w:rsid w:val="000B2BF6"/>
    <w:rsid w:val="000B3AEC"/>
    <w:rsid w:val="000B632C"/>
    <w:rsid w:val="000B7341"/>
    <w:rsid w:val="000C032A"/>
    <w:rsid w:val="000C07C0"/>
    <w:rsid w:val="000C2D24"/>
    <w:rsid w:val="000C3057"/>
    <w:rsid w:val="000C3D58"/>
    <w:rsid w:val="000C4126"/>
    <w:rsid w:val="000C59EB"/>
    <w:rsid w:val="000C6D52"/>
    <w:rsid w:val="000C72E8"/>
    <w:rsid w:val="000D0CB2"/>
    <w:rsid w:val="000D3746"/>
    <w:rsid w:val="000D464F"/>
    <w:rsid w:val="000D4BDA"/>
    <w:rsid w:val="000D4E8E"/>
    <w:rsid w:val="000D5C11"/>
    <w:rsid w:val="000D5FEF"/>
    <w:rsid w:val="000D7FF7"/>
    <w:rsid w:val="000E0388"/>
    <w:rsid w:val="000E352C"/>
    <w:rsid w:val="000E55D2"/>
    <w:rsid w:val="000E70E9"/>
    <w:rsid w:val="000F1807"/>
    <w:rsid w:val="000F3F1D"/>
    <w:rsid w:val="000F4F1B"/>
    <w:rsid w:val="000F5DE6"/>
    <w:rsid w:val="000F699E"/>
    <w:rsid w:val="000F7020"/>
    <w:rsid w:val="001000DB"/>
    <w:rsid w:val="001013C4"/>
    <w:rsid w:val="0010182B"/>
    <w:rsid w:val="001044DA"/>
    <w:rsid w:val="00104B08"/>
    <w:rsid w:val="001054DB"/>
    <w:rsid w:val="00107C87"/>
    <w:rsid w:val="00112026"/>
    <w:rsid w:val="001123E9"/>
    <w:rsid w:val="00113502"/>
    <w:rsid w:val="00113D0E"/>
    <w:rsid w:val="001150A1"/>
    <w:rsid w:val="00117D36"/>
    <w:rsid w:val="00117F51"/>
    <w:rsid w:val="00121B83"/>
    <w:rsid w:val="00122AE2"/>
    <w:rsid w:val="00123988"/>
    <w:rsid w:val="00125A13"/>
    <w:rsid w:val="001277D3"/>
    <w:rsid w:val="0012798E"/>
    <w:rsid w:val="00132A93"/>
    <w:rsid w:val="00133792"/>
    <w:rsid w:val="00133DDF"/>
    <w:rsid w:val="00134D90"/>
    <w:rsid w:val="00136740"/>
    <w:rsid w:val="001367E0"/>
    <w:rsid w:val="00136F14"/>
    <w:rsid w:val="001405AF"/>
    <w:rsid w:val="00141986"/>
    <w:rsid w:val="001441B1"/>
    <w:rsid w:val="001442E7"/>
    <w:rsid w:val="00144AF3"/>
    <w:rsid w:val="001453CF"/>
    <w:rsid w:val="00145D86"/>
    <w:rsid w:val="00145E70"/>
    <w:rsid w:val="00145FAA"/>
    <w:rsid w:val="0014701C"/>
    <w:rsid w:val="00150006"/>
    <w:rsid w:val="00153F9D"/>
    <w:rsid w:val="00154017"/>
    <w:rsid w:val="00155FCD"/>
    <w:rsid w:val="00161716"/>
    <w:rsid w:val="00161B02"/>
    <w:rsid w:val="00162A77"/>
    <w:rsid w:val="00164024"/>
    <w:rsid w:val="001661D1"/>
    <w:rsid w:val="001674E7"/>
    <w:rsid w:val="0017200E"/>
    <w:rsid w:val="00172ADB"/>
    <w:rsid w:val="001738E7"/>
    <w:rsid w:val="00173BB0"/>
    <w:rsid w:val="00174014"/>
    <w:rsid w:val="001742E0"/>
    <w:rsid w:val="00176CEA"/>
    <w:rsid w:val="00180FEF"/>
    <w:rsid w:val="00183DB9"/>
    <w:rsid w:val="00183DD9"/>
    <w:rsid w:val="00186123"/>
    <w:rsid w:val="001871EC"/>
    <w:rsid w:val="0019059F"/>
    <w:rsid w:val="00193120"/>
    <w:rsid w:val="0019442F"/>
    <w:rsid w:val="00196E85"/>
    <w:rsid w:val="00196F04"/>
    <w:rsid w:val="00197C18"/>
    <w:rsid w:val="001A0EAC"/>
    <w:rsid w:val="001A27D7"/>
    <w:rsid w:val="001A3F7B"/>
    <w:rsid w:val="001A5C94"/>
    <w:rsid w:val="001A65AD"/>
    <w:rsid w:val="001A7C81"/>
    <w:rsid w:val="001A7FE0"/>
    <w:rsid w:val="001B0BC3"/>
    <w:rsid w:val="001B1B8B"/>
    <w:rsid w:val="001B2072"/>
    <w:rsid w:val="001B3278"/>
    <w:rsid w:val="001B37A5"/>
    <w:rsid w:val="001B56F9"/>
    <w:rsid w:val="001C1805"/>
    <w:rsid w:val="001C2BCC"/>
    <w:rsid w:val="001C2C30"/>
    <w:rsid w:val="001C3935"/>
    <w:rsid w:val="001C405C"/>
    <w:rsid w:val="001C4232"/>
    <w:rsid w:val="001C5DDC"/>
    <w:rsid w:val="001C7A0B"/>
    <w:rsid w:val="001C7A18"/>
    <w:rsid w:val="001D0857"/>
    <w:rsid w:val="001D0E61"/>
    <w:rsid w:val="001D26C6"/>
    <w:rsid w:val="001D27B2"/>
    <w:rsid w:val="001D2B8C"/>
    <w:rsid w:val="001D31B7"/>
    <w:rsid w:val="001D3BD5"/>
    <w:rsid w:val="001D5B41"/>
    <w:rsid w:val="001D6DA1"/>
    <w:rsid w:val="001D7206"/>
    <w:rsid w:val="001D72EE"/>
    <w:rsid w:val="001D7932"/>
    <w:rsid w:val="001E09B4"/>
    <w:rsid w:val="001E1420"/>
    <w:rsid w:val="001E1C80"/>
    <w:rsid w:val="001E525E"/>
    <w:rsid w:val="001E597C"/>
    <w:rsid w:val="001E73A8"/>
    <w:rsid w:val="001E7927"/>
    <w:rsid w:val="001F05F8"/>
    <w:rsid w:val="001F290B"/>
    <w:rsid w:val="001F2D47"/>
    <w:rsid w:val="001F3870"/>
    <w:rsid w:val="001F407C"/>
    <w:rsid w:val="001F40B3"/>
    <w:rsid w:val="0020052C"/>
    <w:rsid w:val="00200A2A"/>
    <w:rsid w:val="002013B0"/>
    <w:rsid w:val="00201ECE"/>
    <w:rsid w:val="00203927"/>
    <w:rsid w:val="00205BC0"/>
    <w:rsid w:val="00211B1F"/>
    <w:rsid w:val="00211C24"/>
    <w:rsid w:val="00214287"/>
    <w:rsid w:val="00216270"/>
    <w:rsid w:val="00217B59"/>
    <w:rsid w:val="00222F95"/>
    <w:rsid w:val="00222FAB"/>
    <w:rsid w:val="002239F4"/>
    <w:rsid w:val="00224EF4"/>
    <w:rsid w:val="00227322"/>
    <w:rsid w:val="002325E8"/>
    <w:rsid w:val="002349AD"/>
    <w:rsid w:val="002360BF"/>
    <w:rsid w:val="00237A17"/>
    <w:rsid w:val="00240CB3"/>
    <w:rsid w:val="00241DE2"/>
    <w:rsid w:val="0024533C"/>
    <w:rsid w:val="00245DC0"/>
    <w:rsid w:val="00245F50"/>
    <w:rsid w:val="00251AB7"/>
    <w:rsid w:val="00252A86"/>
    <w:rsid w:val="00256C58"/>
    <w:rsid w:val="00256E5E"/>
    <w:rsid w:val="00257785"/>
    <w:rsid w:val="00257B21"/>
    <w:rsid w:val="00260065"/>
    <w:rsid w:val="00260275"/>
    <w:rsid w:val="00260483"/>
    <w:rsid w:val="00262755"/>
    <w:rsid w:val="00264636"/>
    <w:rsid w:val="002652B4"/>
    <w:rsid w:val="00265D5B"/>
    <w:rsid w:val="0026716E"/>
    <w:rsid w:val="00267383"/>
    <w:rsid w:val="002675EE"/>
    <w:rsid w:val="00272D23"/>
    <w:rsid w:val="0027300D"/>
    <w:rsid w:val="0027536B"/>
    <w:rsid w:val="00275851"/>
    <w:rsid w:val="00277152"/>
    <w:rsid w:val="00277B4A"/>
    <w:rsid w:val="00277F77"/>
    <w:rsid w:val="002805F1"/>
    <w:rsid w:val="00281D4B"/>
    <w:rsid w:val="0028729B"/>
    <w:rsid w:val="00290E77"/>
    <w:rsid w:val="002922D0"/>
    <w:rsid w:val="002934E2"/>
    <w:rsid w:val="00295C05"/>
    <w:rsid w:val="00296251"/>
    <w:rsid w:val="002963F4"/>
    <w:rsid w:val="002964C1"/>
    <w:rsid w:val="0029747C"/>
    <w:rsid w:val="002A34A6"/>
    <w:rsid w:val="002A4020"/>
    <w:rsid w:val="002A688B"/>
    <w:rsid w:val="002B1124"/>
    <w:rsid w:val="002B1548"/>
    <w:rsid w:val="002B192D"/>
    <w:rsid w:val="002B24FD"/>
    <w:rsid w:val="002B3B11"/>
    <w:rsid w:val="002B4425"/>
    <w:rsid w:val="002B5E89"/>
    <w:rsid w:val="002B5FC1"/>
    <w:rsid w:val="002B7A9B"/>
    <w:rsid w:val="002C127D"/>
    <w:rsid w:val="002C154C"/>
    <w:rsid w:val="002C1BF0"/>
    <w:rsid w:val="002C262C"/>
    <w:rsid w:val="002C2E75"/>
    <w:rsid w:val="002C3242"/>
    <w:rsid w:val="002C5255"/>
    <w:rsid w:val="002C58D5"/>
    <w:rsid w:val="002C65A2"/>
    <w:rsid w:val="002C6911"/>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0F94"/>
    <w:rsid w:val="0030116A"/>
    <w:rsid w:val="0030147C"/>
    <w:rsid w:val="00302971"/>
    <w:rsid w:val="0030393E"/>
    <w:rsid w:val="00303FD1"/>
    <w:rsid w:val="00304043"/>
    <w:rsid w:val="0030441C"/>
    <w:rsid w:val="0030480B"/>
    <w:rsid w:val="00304BC2"/>
    <w:rsid w:val="00305BB6"/>
    <w:rsid w:val="00306474"/>
    <w:rsid w:val="00306B13"/>
    <w:rsid w:val="00306E94"/>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17F8E"/>
    <w:rsid w:val="0032007B"/>
    <w:rsid w:val="003216E7"/>
    <w:rsid w:val="003245E5"/>
    <w:rsid w:val="00325753"/>
    <w:rsid w:val="003271C7"/>
    <w:rsid w:val="00327B0F"/>
    <w:rsid w:val="00330A2A"/>
    <w:rsid w:val="0033350B"/>
    <w:rsid w:val="003376DE"/>
    <w:rsid w:val="00337845"/>
    <w:rsid w:val="00341AF9"/>
    <w:rsid w:val="00343511"/>
    <w:rsid w:val="003443C4"/>
    <w:rsid w:val="00345CA1"/>
    <w:rsid w:val="00346899"/>
    <w:rsid w:val="00346A0C"/>
    <w:rsid w:val="00347168"/>
    <w:rsid w:val="00347561"/>
    <w:rsid w:val="003479FE"/>
    <w:rsid w:val="003500F2"/>
    <w:rsid w:val="003505AC"/>
    <w:rsid w:val="0035323B"/>
    <w:rsid w:val="00353360"/>
    <w:rsid w:val="0035388A"/>
    <w:rsid w:val="0035422E"/>
    <w:rsid w:val="0035461A"/>
    <w:rsid w:val="00356689"/>
    <w:rsid w:val="0035704D"/>
    <w:rsid w:val="003578DB"/>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47B2"/>
    <w:rsid w:val="00385988"/>
    <w:rsid w:val="0038670F"/>
    <w:rsid w:val="00390015"/>
    <w:rsid w:val="003907F2"/>
    <w:rsid w:val="003922F7"/>
    <w:rsid w:val="00392E6D"/>
    <w:rsid w:val="003936DF"/>
    <w:rsid w:val="00395613"/>
    <w:rsid w:val="00397729"/>
    <w:rsid w:val="003A1DD8"/>
    <w:rsid w:val="003A30B3"/>
    <w:rsid w:val="003A3E46"/>
    <w:rsid w:val="003A4381"/>
    <w:rsid w:val="003A4E4D"/>
    <w:rsid w:val="003A60E2"/>
    <w:rsid w:val="003B0449"/>
    <w:rsid w:val="003B0957"/>
    <w:rsid w:val="003B2A2A"/>
    <w:rsid w:val="003B2A5E"/>
    <w:rsid w:val="003B52AF"/>
    <w:rsid w:val="003B58AF"/>
    <w:rsid w:val="003B58FB"/>
    <w:rsid w:val="003B5FE8"/>
    <w:rsid w:val="003C0456"/>
    <w:rsid w:val="003C10EB"/>
    <w:rsid w:val="003C13BD"/>
    <w:rsid w:val="003C1AD6"/>
    <w:rsid w:val="003C2A5C"/>
    <w:rsid w:val="003C4CCE"/>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E00"/>
    <w:rsid w:val="00400302"/>
    <w:rsid w:val="00400407"/>
    <w:rsid w:val="0040070B"/>
    <w:rsid w:val="00400994"/>
    <w:rsid w:val="00402171"/>
    <w:rsid w:val="0040300A"/>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6C33"/>
    <w:rsid w:val="004379F4"/>
    <w:rsid w:val="00440040"/>
    <w:rsid w:val="00441350"/>
    <w:rsid w:val="004416AA"/>
    <w:rsid w:val="00441B22"/>
    <w:rsid w:val="00443190"/>
    <w:rsid w:val="00443506"/>
    <w:rsid w:val="00444335"/>
    <w:rsid w:val="00445C15"/>
    <w:rsid w:val="00447444"/>
    <w:rsid w:val="00447867"/>
    <w:rsid w:val="00450544"/>
    <w:rsid w:val="0045083E"/>
    <w:rsid w:val="0045163A"/>
    <w:rsid w:val="00451B0C"/>
    <w:rsid w:val="004521AC"/>
    <w:rsid w:val="004536F0"/>
    <w:rsid w:val="004556A9"/>
    <w:rsid w:val="00460578"/>
    <w:rsid w:val="004630CC"/>
    <w:rsid w:val="004642E2"/>
    <w:rsid w:val="00464921"/>
    <w:rsid w:val="00464CBC"/>
    <w:rsid w:val="004656D7"/>
    <w:rsid w:val="004657E2"/>
    <w:rsid w:val="00465D65"/>
    <w:rsid w:val="0046721D"/>
    <w:rsid w:val="0047141E"/>
    <w:rsid w:val="004717AA"/>
    <w:rsid w:val="00471A4D"/>
    <w:rsid w:val="00471B0E"/>
    <w:rsid w:val="00475F79"/>
    <w:rsid w:val="00477F67"/>
    <w:rsid w:val="00481909"/>
    <w:rsid w:val="00481996"/>
    <w:rsid w:val="004844EA"/>
    <w:rsid w:val="0048675D"/>
    <w:rsid w:val="00487853"/>
    <w:rsid w:val="00491440"/>
    <w:rsid w:val="00491541"/>
    <w:rsid w:val="00491CC0"/>
    <w:rsid w:val="00491EBD"/>
    <w:rsid w:val="004920E3"/>
    <w:rsid w:val="00492A73"/>
    <w:rsid w:val="00494615"/>
    <w:rsid w:val="00495458"/>
    <w:rsid w:val="0049547E"/>
    <w:rsid w:val="0049564D"/>
    <w:rsid w:val="00495895"/>
    <w:rsid w:val="004A02DD"/>
    <w:rsid w:val="004A1A23"/>
    <w:rsid w:val="004A20BD"/>
    <w:rsid w:val="004A3877"/>
    <w:rsid w:val="004A52EF"/>
    <w:rsid w:val="004A7A72"/>
    <w:rsid w:val="004B09B5"/>
    <w:rsid w:val="004B1222"/>
    <w:rsid w:val="004B1F5B"/>
    <w:rsid w:val="004B2495"/>
    <w:rsid w:val="004B28E4"/>
    <w:rsid w:val="004B60C8"/>
    <w:rsid w:val="004B6273"/>
    <w:rsid w:val="004B64C2"/>
    <w:rsid w:val="004B6E48"/>
    <w:rsid w:val="004B7A50"/>
    <w:rsid w:val="004C0242"/>
    <w:rsid w:val="004C0688"/>
    <w:rsid w:val="004C0CAC"/>
    <w:rsid w:val="004C15BD"/>
    <w:rsid w:val="004C17B4"/>
    <w:rsid w:val="004C6F0E"/>
    <w:rsid w:val="004C7FC1"/>
    <w:rsid w:val="004D04A8"/>
    <w:rsid w:val="004D693E"/>
    <w:rsid w:val="004E01D3"/>
    <w:rsid w:val="004E29DE"/>
    <w:rsid w:val="004E3DE2"/>
    <w:rsid w:val="004E4B43"/>
    <w:rsid w:val="004E52B7"/>
    <w:rsid w:val="004E6CF8"/>
    <w:rsid w:val="004F2026"/>
    <w:rsid w:val="004F2796"/>
    <w:rsid w:val="004F2C69"/>
    <w:rsid w:val="004F3015"/>
    <w:rsid w:val="004F3063"/>
    <w:rsid w:val="004F32A0"/>
    <w:rsid w:val="004F40E7"/>
    <w:rsid w:val="004F451C"/>
    <w:rsid w:val="004F48E4"/>
    <w:rsid w:val="004F5681"/>
    <w:rsid w:val="00501F2D"/>
    <w:rsid w:val="0050269D"/>
    <w:rsid w:val="00506A6C"/>
    <w:rsid w:val="00511267"/>
    <w:rsid w:val="00511AC6"/>
    <w:rsid w:val="00513F04"/>
    <w:rsid w:val="00515F11"/>
    <w:rsid w:val="00517751"/>
    <w:rsid w:val="005201E2"/>
    <w:rsid w:val="00520958"/>
    <w:rsid w:val="0052111A"/>
    <w:rsid w:val="00521687"/>
    <w:rsid w:val="00522D6B"/>
    <w:rsid w:val="00523102"/>
    <w:rsid w:val="00523C39"/>
    <w:rsid w:val="00525FEA"/>
    <w:rsid w:val="00527353"/>
    <w:rsid w:val="005307BD"/>
    <w:rsid w:val="0053182F"/>
    <w:rsid w:val="00533911"/>
    <w:rsid w:val="00537B8D"/>
    <w:rsid w:val="00540D4A"/>
    <w:rsid w:val="0054300F"/>
    <w:rsid w:val="005440E9"/>
    <w:rsid w:val="00544AE2"/>
    <w:rsid w:val="00544FDA"/>
    <w:rsid w:val="00545049"/>
    <w:rsid w:val="005457A3"/>
    <w:rsid w:val="0055219C"/>
    <w:rsid w:val="00552AC4"/>
    <w:rsid w:val="0055460A"/>
    <w:rsid w:val="00555169"/>
    <w:rsid w:val="005573BA"/>
    <w:rsid w:val="005619C4"/>
    <w:rsid w:val="00562D2E"/>
    <w:rsid w:val="00564264"/>
    <w:rsid w:val="00564D97"/>
    <w:rsid w:val="00564FEF"/>
    <w:rsid w:val="005652B5"/>
    <w:rsid w:val="0056716A"/>
    <w:rsid w:val="005721AA"/>
    <w:rsid w:val="005723F7"/>
    <w:rsid w:val="00572EF7"/>
    <w:rsid w:val="0057314B"/>
    <w:rsid w:val="00575240"/>
    <w:rsid w:val="00577A3B"/>
    <w:rsid w:val="0058167F"/>
    <w:rsid w:val="00581F02"/>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395D"/>
    <w:rsid w:val="005A59AD"/>
    <w:rsid w:val="005A67E6"/>
    <w:rsid w:val="005A6B50"/>
    <w:rsid w:val="005A6EEF"/>
    <w:rsid w:val="005A7A1A"/>
    <w:rsid w:val="005B0CDE"/>
    <w:rsid w:val="005B2569"/>
    <w:rsid w:val="005B73A2"/>
    <w:rsid w:val="005C0211"/>
    <w:rsid w:val="005C1C9D"/>
    <w:rsid w:val="005C3032"/>
    <w:rsid w:val="005C3D21"/>
    <w:rsid w:val="005C52C8"/>
    <w:rsid w:val="005C574B"/>
    <w:rsid w:val="005C6485"/>
    <w:rsid w:val="005C6E14"/>
    <w:rsid w:val="005C75C6"/>
    <w:rsid w:val="005D0AB1"/>
    <w:rsid w:val="005D1737"/>
    <w:rsid w:val="005D274E"/>
    <w:rsid w:val="005D2B1C"/>
    <w:rsid w:val="005D4385"/>
    <w:rsid w:val="005D4949"/>
    <w:rsid w:val="005D546C"/>
    <w:rsid w:val="005D5C7E"/>
    <w:rsid w:val="005E058D"/>
    <w:rsid w:val="005E2BCE"/>
    <w:rsid w:val="005E3267"/>
    <w:rsid w:val="005E4753"/>
    <w:rsid w:val="005E5152"/>
    <w:rsid w:val="005E5A4C"/>
    <w:rsid w:val="005F3A3B"/>
    <w:rsid w:val="005F3FA2"/>
    <w:rsid w:val="005F405F"/>
    <w:rsid w:val="005F45C5"/>
    <w:rsid w:val="005F5A79"/>
    <w:rsid w:val="005F5B49"/>
    <w:rsid w:val="005F5B89"/>
    <w:rsid w:val="005F6EEE"/>
    <w:rsid w:val="005F7E5F"/>
    <w:rsid w:val="00600729"/>
    <w:rsid w:val="00602C2C"/>
    <w:rsid w:val="006034A0"/>
    <w:rsid w:val="00604D91"/>
    <w:rsid w:val="00605BCD"/>
    <w:rsid w:val="006066DC"/>
    <w:rsid w:val="0060717A"/>
    <w:rsid w:val="00610154"/>
    <w:rsid w:val="00610B0E"/>
    <w:rsid w:val="00611AA3"/>
    <w:rsid w:val="0061337A"/>
    <w:rsid w:val="00616159"/>
    <w:rsid w:val="0061654A"/>
    <w:rsid w:val="00616F46"/>
    <w:rsid w:val="006206BA"/>
    <w:rsid w:val="0062079C"/>
    <w:rsid w:val="00621901"/>
    <w:rsid w:val="0062456B"/>
    <w:rsid w:val="00627552"/>
    <w:rsid w:val="006305EF"/>
    <w:rsid w:val="00630FE5"/>
    <w:rsid w:val="00631A20"/>
    <w:rsid w:val="006321E7"/>
    <w:rsid w:val="006353EF"/>
    <w:rsid w:val="00635C97"/>
    <w:rsid w:val="00636149"/>
    <w:rsid w:val="00640DBB"/>
    <w:rsid w:val="0064174B"/>
    <w:rsid w:val="00641C07"/>
    <w:rsid w:val="00642881"/>
    <w:rsid w:val="0064515E"/>
    <w:rsid w:val="00645530"/>
    <w:rsid w:val="00645897"/>
    <w:rsid w:val="00651339"/>
    <w:rsid w:val="00651F31"/>
    <w:rsid w:val="006528A5"/>
    <w:rsid w:val="006528E0"/>
    <w:rsid w:val="00656185"/>
    <w:rsid w:val="00656EC7"/>
    <w:rsid w:val="006574B8"/>
    <w:rsid w:val="0066084E"/>
    <w:rsid w:val="00664E36"/>
    <w:rsid w:val="00665002"/>
    <w:rsid w:val="00666463"/>
    <w:rsid w:val="00666547"/>
    <w:rsid w:val="006669C6"/>
    <w:rsid w:val="00671792"/>
    <w:rsid w:val="00671FA9"/>
    <w:rsid w:val="00672DC1"/>
    <w:rsid w:val="0067324C"/>
    <w:rsid w:val="0067335F"/>
    <w:rsid w:val="0067717E"/>
    <w:rsid w:val="00680629"/>
    <w:rsid w:val="006814A3"/>
    <w:rsid w:val="0068276C"/>
    <w:rsid w:val="0068441B"/>
    <w:rsid w:val="00684842"/>
    <w:rsid w:val="00690F79"/>
    <w:rsid w:val="0069142F"/>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6DB5"/>
    <w:rsid w:val="006B7622"/>
    <w:rsid w:val="006B7DA9"/>
    <w:rsid w:val="006C039C"/>
    <w:rsid w:val="006C26EE"/>
    <w:rsid w:val="006C40F1"/>
    <w:rsid w:val="006C5FE2"/>
    <w:rsid w:val="006C64B4"/>
    <w:rsid w:val="006C72F1"/>
    <w:rsid w:val="006D073D"/>
    <w:rsid w:val="006D133C"/>
    <w:rsid w:val="006D1CFF"/>
    <w:rsid w:val="006D34E0"/>
    <w:rsid w:val="006D4D84"/>
    <w:rsid w:val="006D5645"/>
    <w:rsid w:val="006D5C22"/>
    <w:rsid w:val="006D77B8"/>
    <w:rsid w:val="006D7AD3"/>
    <w:rsid w:val="006E07B7"/>
    <w:rsid w:val="006E0D9F"/>
    <w:rsid w:val="006E1AA9"/>
    <w:rsid w:val="006E3B1E"/>
    <w:rsid w:val="006F1E47"/>
    <w:rsid w:val="006F2671"/>
    <w:rsid w:val="006F2DC8"/>
    <w:rsid w:val="006F40C3"/>
    <w:rsid w:val="006F4937"/>
    <w:rsid w:val="006F62A4"/>
    <w:rsid w:val="006F66F9"/>
    <w:rsid w:val="006F6F23"/>
    <w:rsid w:val="00700B5D"/>
    <w:rsid w:val="00701468"/>
    <w:rsid w:val="00701A3A"/>
    <w:rsid w:val="00705857"/>
    <w:rsid w:val="00707E9E"/>
    <w:rsid w:val="007118D9"/>
    <w:rsid w:val="00715B09"/>
    <w:rsid w:val="00716099"/>
    <w:rsid w:val="00716567"/>
    <w:rsid w:val="00717E23"/>
    <w:rsid w:val="00720B50"/>
    <w:rsid w:val="00721C74"/>
    <w:rsid w:val="00724AB3"/>
    <w:rsid w:val="00724B1C"/>
    <w:rsid w:val="00724FBE"/>
    <w:rsid w:val="00725AB3"/>
    <w:rsid w:val="00727DD7"/>
    <w:rsid w:val="00733549"/>
    <w:rsid w:val="00733955"/>
    <w:rsid w:val="00733AF6"/>
    <w:rsid w:val="00733B0E"/>
    <w:rsid w:val="00736647"/>
    <w:rsid w:val="007374F0"/>
    <w:rsid w:val="0074052D"/>
    <w:rsid w:val="00741CD2"/>
    <w:rsid w:val="00741EE7"/>
    <w:rsid w:val="0074200A"/>
    <w:rsid w:val="00742E05"/>
    <w:rsid w:val="0074355C"/>
    <w:rsid w:val="007436AE"/>
    <w:rsid w:val="007457D1"/>
    <w:rsid w:val="007504CC"/>
    <w:rsid w:val="00751B75"/>
    <w:rsid w:val="00751BB7"/>
    <w:rsid w:val="00752160"/>
    <w:rsid w:val="00753480"/>
    <w:rsid w:val="007550A8"/>
    <w:rsid w:val="0075612E"/>
    <w:rsid w:val="00757C38"/>
    <w:rsid w:val="00757E09"/>
    <w:rsid w:val="00757F5D"/>
    <w:rsid w:val="00762D2B"/>
    <w:rsid w:val="007643C1"/>
    <w:rsid w:val="007645DA"/>
    <w:rsid w:val="0076695A"/>
    <w:rsid w:val="00766C1C"/>
    <w:rsid w:val="00767A73"/>
    <w:rsid w:val="00770F44"/>
    <w:rsid w:val="00771AF1"/>
    <w:rsid w:val="00772430"/>
    <w:rsid w:val="00772E90"/>
    <w:rsid w:val="00772F49"/>
    <w:rsid w:val="007743C1"/>
    <w:rsid w:val="00774F43"/>
    <w:rsid w:val="007777BE"/>
    <w:rsid w:val="0078089C"/>
    <w:rsid w:val="00780B68"/>
    <w:rsid w:val="0078162E"/>
    <w:rsid w:val="0078239E"/>
    <w:rsid w:val="007827F2"/>
    <w:rsid w:val="00782DA5"/>
    <w:rsid w:val="007851B3"/>
    <w:rsid w:val="00786586"/>
    <w:rsid w:val="007903FB"/>
    <w:rsid w:val="00792655"/>
    <w:rsid w:val="007961D9"/>
    <w:rsid w:val="00796281"/>
    <w:rsid w:val="00796BE3"/>
    <w:rsid w:val="00797ED6"/>
    <w:rsid w:val="007A00C9"/>
    <w:rsid w:val="007A09DA"/>
    <w:rsid w:val="007A0F90"/>
    <w:rsid w:val="007A15EB"/>
    <w:rsid w:val="007A2343"/>
    <w:rsid w:val="007A3155"/>
    <w:rsid w:val="007A46FE"/>
    <w:rsid w:val="007A4C53"/>
    <w:rsid w:val="007A6EB7"/>
    <w:rsid w:val="007A7767"/>
    <w:rsid w:val="007B006A"/>
    <w:rsid w:val="007B13E0"/>
    <w:rsid w:val="007B18DF"/>
    <w:rsid w:val="007B21DC"/>
    <w:rsid w:val="007B34A2"/>
    <w:rsid w:val="007B3DF6"/>
    <w:rsid w:val="007B4C72"/>
    <w:rsid w:val="007B5D03"/>
    <w:rsid w:val="007B723E"/>
    <w:rsid w:val="007C009B"/>
    <w:rsid w:val="007C1559"/>
    <w:rsid w:val="007C34F2"/>
    <w:rsid w:val="007C395E"/>
    <w:rsid w:val="007C494D"/>
    <w:rsid w:val="007C6CBB"/>
    <w:rsid w:val="007D1428"/>
    <w:rsid w:val="007D1EA9"/>
    <w:rsid w:val="007D1EFA"/>
    <w:rsid w:val="007D2D3E"/>
    <w:rsid w:val="007D313B"/>
    <w:rsid w:val="007D3931"/>
    <w:rsid w:val="007D3B84"/>
    <w:rsid w:val="007D44F2"/>
    <w:rsid w:val="007D46F5"/>
    <w:rsid w:val="007D4803"/>
    <w:rsid w:val="007D54C8"/>
    <w:rsid w:val="007D7BA1"/>
    <w:rsid w:val="007E0D8E"/>
    <w:rsid w:val="007E15C2"/>
    <w:rsid w:val="007E2037"/>
    <w:rsid w:val="007E257A"/>
    <w:rsid w:val="007E42B2"/>
    <w:rsid w:val="007E4DB8"/>
    <w:rsid w:val="007E5491"/>
    <w:rsid w:val="007E5893"/>
    <w:rsid w:val="007E68B2"/>
    <w:rsid w:val="007F00E5"/>
    <w:rsid w:val="007F1137"/>
    <w:rsid w:val="007F1DBE"/>
    <w:rsid w:val="007F1E8F"/>
    <w:rsid w:val="007F3142"/>
    <w:rsid w:val="007F329D"/>
    <w:rsid w:val="007F4B46"/>
    <w:rsid w:val="007F4B96"/>
    <w:rsid w:val="007F5F00"/>
    <w:rsid w:val="007F6585"/>
    <w:rsid w:val="007F7EDB"/>
    <w:rsid w:val="008012F1"/>
    <w:rsid w:val="00801A18"/>
    <w:rsid w:val="00803F08"/>
    <w:rsid w:val="00804243"/>
    <w:rsid w:val="00804B4C"/>
    <w:rsid w:val="00804F1C"/>
    <w:rsid w:val="00805517"/>
    <w:rsid w:val="008061EC"/>
    <w:rsid w:val="008072F3"/>
    <w:rsid w:val="00810AB9"/>
    <w:rsid w:val="00810EF0"/>
    <w:rsid w:val="0081200F"/>
    <w:rsid w:val="00812847"/>
    <w:rsid w:val="00813D98"/>
    <w:rsid w:val="0081417F"/>
    <w:rsid w:val="0081469B"/>
    <w:rsid w:val="008156AF"/>
    <w:rsid w:val="008158EA"/>
    <w:rsid w:val="00816564"/>
    <w:rsid w:val="008170B0"/>
    <w:rsid w:val="00817751"/>
    <w:rsid w:val="00820070"/>
    <w:rsid w:val="00820D36"/>
    <w:rsid w:val="00821AE3"/>
    <w:rsid w:val="00824CA2"/>
    <w:rsid w:val="008262D8"/>
    <w:rsid w:val="00830ACF"/>
    <w:rsid w:val="00830E72"/>
    <w:rsid w:val="00830F49"/>
    <w:rsid w:val="00834075"/>
    <w:rsid w:val="0083411B"/>
    <w:rsid w:val="00835040"/>
    <w:rsid w:val="008353FD"/>
    <w:rsid w:val="00836270"/>
    <w:rsid w:val="00836322"/>
    <w:rsid w:val="008418D0"/>
    <w:rsid w:val="0084242C"/>
    <w:rsid w:val="00845369"/>
    <w:rsid w:val="0084586B"/>
    <w:rsid w:val="008526EC"/>
    <w:rsid w:val="0085347B"/>
    <w:rsid w:val="008535DC"/>
    <w:rsid w:val="00853709"/>
    <w:rsid w:val="00853B36"/>
    <w:rsid w:val="00854377"/>
    <w:rsid w:val="008562C9"/>
    <w:rsid w:val="00857DD3"/>
    <w:rsid w:val="00861010"/>
    <w:rsid w:val="00861FF4"/>
    <w:rsid w:val="008643CC"/>
    <w:rsid w:val="00864CFE"/>
    <w:rsid w:val="00867EB0"/>
    <w:rsid w:val="0087030D"/>
    <w:rsid w:val="00870CF7"/>
    <w:rsid w:val="00871923"/>
    <w:rsid w:val="008729E6"/>
    <w:rsid w:val="008734C6"/>
    <w:rsid w:val="00873BD7"/>
    <w:rsid w:val="00874303"/>
    <w:rsid w:val="00874347"/>
    <w:rsid w:val="008755F9"/>
    <w:rsid w:val="00876C7D"/>
    <w:rsid w:val="00877384"/>
    <w:rsid w:val="008779F4"/>
    <w:rsid w:val="008805CC"/>
    <w:rsid w:val="0088239D"/>
    <w:rsid w:val="0088377F"/>
    <w:rsid w:val="008849A5"/>
    <w:rsid w:val="00884AB1"/>
    <w:rsid w:val="00886870"/>
    <w:rsid w:val="00887DEE"/>
    <w:rsid w:val="00890D8C"/>
    <w:rsid w:val="00890E4E"/>
    <w:rsid w:val="00891733"/>
    <w:rsid w:val="0089396C"/>
    <w:rsid w:val="00894419"/>
    <w:rsid w:val="0089570F"/>
    <w:rsid w:val="00895E82"/>
    <w:rsid w:val="008973A9"/>
    <w:rsid w:val="00897414"/>
    <w:rsid w:val="008A0ADE"/>
    <w:rsid w:val="008A0D30"/>
    <w:rsid w:val="008A28AA"/>
    <w:rsid w:val="008A2C47"/>
    <w:rsid w:val="008A4466"/>
    <w:rsid w:val="008A56F6"/>
    <w:rsid w:val="008A58BE"/>
    <w:rsid w:val="008B022F"/>
    <w:rsid w:val="008B0DFD"/>
    <w:rsid w:val="008B28DD"/>
    <w:rsid w:val="008B2ACA"/>
    <w:rsid w:val="008B3A6F"/>
    <w:rsid w:val="008B4345"/>
    <w:rsid w:val="008B4D7A"/>
    <w:rsid w:val="008B4DC1"/>
    <w:rsid w:val="008C111B"/>
    <w:rsid w:val="008C194D"/>
    <w:rsid w:val="008C36FD"/>
    <w:rsid w:val="008C450A"/>
    <w:rsid w:val="008C4B6A"/>
    <w:rsid w:val="008C5A83"/>
    <w:rsid w:val="008C5F39"/>
    <w:rsid w:val="008C6862"/>
    <w:rsid w:val="008C6CCD"/>
    <w:rsid w:val="008C6D1B"/>
    <w:rsid w:val="008C7730"/>
    <w:rsid w:val="008D0F62"/>
    <w:rsid w:val="008D309C"/>
    <w:rsid w:val="008D3297"/>
    <w:rsid w:val="008D4976"/>
    <w:rsid w:val="008D4C42"/>
    <w:rsid w:val="008D55EA"/>
    <w:rsid w:val="008D6250"/>
    <w:rsid w:val="008D6577"/>
    <w:rsid w:val="008D6E21"/>
    <w:rsid w:val="008E0D0B"/>
    <w:rsid w:val="008E131B"/>
    <w:rsid w:val="008E13A8"/>
    <w:rsid w:val="008E210F"/>
    <w:rsid w:val="008E35E2"/>
    <w:rsid w:val="008E4096"/>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3296"/>
    <w:rsid w:val="00915A58"/>
    <w:rsid w:val="0091650E"/>
    <w:rsid w:val="00916BCE"/>
    <w:rsid w:val="00917035"/>
    <w:rsid w:val="00921CE6"/>
    <w:rsid w:val="0092204F"/>
    <w:rsid w:val="0092248B"/>
    <w:rsid w:val="00923DCE"/>
    <w:rsid w:val="00923FD5"/>
    <w:rsid w:val="00924B2E"/>
    <w:rsid w:val="00926527"/>
    <w:rsid w:val="00926A6E"/>
    <w:rsid w:val="0093038B"/>
    <w:rsid w:val="00931E71"/>
    <w:rsid w:val="00933DC1"/>
    <w:rsid w:val="00934388"/>
    <w:rsid w:val="009343B9"/>
    <w:rsid w:val="00934E8C"/>
    <w:rsid w:val="00934FB6"/>
    <w:rsid w:val="00935052"/>
    <w:rsid w:val="00935BCB"/>
    <w:rsid w:val="00936900"/>
    <w:rsid w:val="00936AA8"/>
    <w:rsid w:val="0093734B"/>
    <w:rsid w:val="00937A23"/>
    <w:rsid w:val="009402F0"/>
    <w:rsid w:val="009420EB"/>
    <w:rsid w:val="009421B1"/>
    <w:rsid w:val="009424F2"/>
    <w:rsid w:val="00942560"/>
    <w:rsid w:val="009426E9"/>
    <w:rsid w:val="00942BAF"/>
    <w:rsid w:val="009437A9"/>
    <w:rsid w:val="009442B0"/>
    <w:rsid w:val="0094696F"/>
    <w:rsid w:val="009513ED"/>
    <w:rsid w:val="009520DA"/>
    <w:rsid w:val="00952C0C"/>
    <w:rsid w:val="00954069"/>
    <w:rsid w:val="00955FDD"/>
    <w:rsid w:val="00956448"/>
    <w:rsid w:val="009570D0"/>
    <w:rsid w:val="0096342B"/>
    <w:rsid w:val="00963DFB"/>
    <w:rsid w:val="009654EE"/>
    <w:rsid w:val="00965D8E"/>
    <w:rsid w:val="009667CF"/>
    <w:rsid w:val="0096708B"/>
    <w:rsid w:val="009673DD"/>
    <w:rsid w:val="0096768F"/>
    <w:rsid w:val="009713E7"/>
    <w:rsid w:val="009728A3"/>
    <w:rsid w:val="009736AE"/>
    <w:rsid w:val="00974CB3"/>
    <w:rsid w:val="009750D1"/>
    <w:rsid w:val="00977222"/>
    <w:rsid w:val="00977AB4"/>
    <w:rsid w:val="00977B97"/>
    <w:rsid w:val="00980C91"/>
    <w:rsid w:val="009813F4"/>
    <w:rsid w:val="009819FB"/>
    <w:rsid w:val="00982471"/>
    <w:rsid w:val="0098317C"/>
    <w:rsid w:val="009847CE"/>
    <w:rsid w:val="00985C9A"/>
    <w:rsid w:val="0098650A"/>
    <w:rsid w:val="0098700E"/>
    <w:rsid w:val="00987130"/>
    <w:rsid w:val="0098719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25A"/>
    <w:rsid w:val="009B6844"/>
    <w:rsid w:val="009C042E"/>
    <w:rsid w:val="009C1C77"/>
    <w:rsid w:val="009C1D0E"/>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5F09"/>
    <w:rsid w:val="009D62F3"/>
    <w:rsid w:val="009D6AB2"/>
    <w:rsid w:val="009E594C"/>
    <w:rsid w:val="009E6BBC"/>
    <w:rsid w:val="009F02BF"/>
    <w:rsid w:val="009F0B77"/>
    <w:rsid w:val="009F23B2"/>
    <w:rsid w:val="009F2786"/>
    <w:rsid w:val="009F3C46"/>
    <w:rsid w:val="009F48C7"/>
    <w:rsid w:val="009F4DB3"/>
    <w:rsid w:val="009F5760"/>
    <w:rsid w:val="009F629D"/>
    <w:rsid w:val="009F6E01"/>
    <w:rsid w:val="009F7ADF"/>
    <w:rsid w:val="00A03785"/>
    <w:rsid w:val="00A05F2C"/>
    <w:rsid w:val="00A10282"/>
    <w:rsid w:val="00A10EA1"/>
    <w:rsid w:val="00A115FE"/>
    <w:rsid w:val="00A12618"/>
    <w:rsid w:val="00A12D41"/>
    <w:rsid w:val="00A14550"/>
    <w:rsid w:val="00A14A9B"/>
    <w:rsid w:val="00A15E75"/>
    <w:rsid w:val="00A15F4D"/>
    <w:rsid w:val="00A22D0C"/>
    <w:rsid w:val="00A23AA1"/>
    <w:rsid w:val="00A26CC3"/>
    <w:rsid w:val="00A30348"/>
    <w:rsid w:val="00A30694"/>
    <w:rsid w:val="00A31F20"/>
    <w:rsid w:val="00A34BD5"/>
    <w:rsid w:val="00A35274"/>
    <w:rsid w:val="00A35390"/>
    <w:rsid w:val="00A35A72"/>
    <w:rsid w:val="00A36981"/>
    <w:rsid w:val="00A373FB"/>
    <w:rsid w:val="00A40A7C"/>
    <w:rsid w:val="00A413E3"/>
    <w:rsid w:val="00A41A73"/>
    <w:rsid w:val="00A420AD"/>
    <w:rsid w:val="00A4219B"/>
    <w:rsid w:val="00A43989"/>
    <w:rsid w:val="00A44AEB"/>
    <w:rsid w:val="00A467EB"/>
    <w:rsid w:val="00A46A76"/>
    <w:rsid w:val="00A46BDC"/>
    <w:rsid w:val="00A516DC"/>
    <w:rsid w:val="00A56471"/>
    <w:rsid w:val="00A5650B"/>
    <w:rsid w:val="00A61014"/>
    <w:rsid w:val="00A6115A"/>
    <w:rsid w:val="00A62476"/>
    <w:rsid w:val="00A64DC8"/>
    <w:rsid w:val="00A65ADA"/>
    <w:rsid w:val="00A66177"/>
    <w:rsid w:val="00A66FD6"/>
    <w:rsid w:val="00A672A3"/>
    <w:rsid w:val="00A70F53"/>
    <w:rsid w:val="00A71B7F"/>
    <w:rsid w:val="00A71CBC"/>
    <w:rsid w:val="00A72307"/>
    <w:rsid w:val="00A72A4E"/>
    <w:rsid w:val="00A72AA4"/>
    <w:rsid w:val="00A72B2E"/>
    <w:rsid w:val="00A7522C"/>
    <w:rsid w:val="00A77D9C"/>
    <w:rsid w:val="00A80565"/>
    <w:rsid w:val="00A81155"/>
    <w:rsid w:val="00A845D2"/>
    <w:rsid w:val="00A84869"/>
    <w:rsid w:val="00A85935"/>
    <w:rsid w:val="00A9069A"/>
    <w:rsid w:val="00A91595"/>
    <w:rsid w:val="00A92B3D"/>
    <w:rsid w:val="00A92BCE"/>
    <w:rsid w:val="00A93B07"/>
    <w:rsid w:val="00A9466A"/>
    <w:rsid w:val="00A9531D"/>
    <w:rsid w:val="00A96B98"/>
    <w:rsid w:val="00AA0387"/>
    <w:rsid w:val="00AA0AFA"/>
    <w:rsid w:val="00AA10B4"/>
    <w:rsid w:val="00AA1BB9"/>
    <w:rsid w:val="00AA24DA"/>
    <w:rsid w:val="00AA3D9E"/>
    <w:rsid w:val="00AA4F06"/>
    <w:rsid w:val="00AA4F79"/>
    <w:rsid w:val="00AA6DC8"/>
    <w:rsid w:val="00AA6EFC"/>
    <w:rsid w:val="00AB3E34"/>
    <w:rsid w:val="00AB52A2"/>
    <w:rsid w:val="00AB5A3B"/>
    <w:rsid w:val="00AC16E9"/>
    <w:rsid w:val="00AC1858"/>
    <w:rsid w:val="00AC4430"/>
    <w:rsid w:val="00AC4CFB"/>
    <w:rsid w:val="00AC51FA"/>
    <w:rsid w:val="00AC6160"/>
    <w:rsid w:val="00AC7949"/>
    <w:rsid w:val="00AD2291"/>
    <w:rsid w:val="00AD257C"/>
    <w:rsid w:val="00AD265F"/>
    <w:rsid w:val="00AD3441"/>
    <w:rsid w:val="00AD3C2E"/>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3CF3"/>
    <w:rsid w:val="00AF4B65"/>
    <w:rsid w:val="00AF4CAB"/>
    <w:rsid w:val="00AF4FFC"/>
    <w:rsid w:val="00AF54AC"/>
    <w:rsid w:val="00B03280"/>
    <w:rsid w:val="00B04E7A"/>
    <w:rsid w:val="00B04F2C"/>
    <w:rsid w:val="00B055BB"/>
    <w:rsid w:val="00B07203"/>
    <w:rsid w:val="00B07BE5"/>
    <w:rsid w:val="00B10304"/>
    <w:rsid w:val="00B13A6D"/>
    <w:rsid w:val="00B2185D"/>
    <w:rsid w:val="00B22A38"/>
    <w:rsid w:val="00B24513"/>
    <w:rsid w:val="00B251A1"/>
    <w:rsid w:val="00B25EA5"/>
    <w:rsid w:val="00B27CC0"/>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47EC5"/>
    <w:rsid w:val="00B5126D"/>
    <w:rsid w:val="00B52C06"/>
    <w:rsid w:val="00B530D1"/>
    <w:rsid w:val="00B56612"/>
    <w:rsid w:val="00B56FF2"/>
    <w:rsid w:val="00B57AF1"/>
    <w:rsid w:val="00B57B2A"/>
    <w:rsid w:val="00B60B1E"/>
    <w:rsid w:val="00B60CCC"/>
    <w:rsid w:val="00B643F4"/>
    <w:rsid w:val="00B6717D"/>
    <w:rsid w:val="00B67D93"/>
    <w:rsid w:val="00B70A73"/>
    <w:rsid w:val="00B71287"/>
    <w:rsid w:val="00B71C1A"/>
    <w:rsid w:val="00B726AA"/>
    <w:rsid w:val="00B74F5A"/>
    <w:rsid w:val="00B76068"/>
    <w:rsid w:val="00B76F70"/>
    <w:rsid w:val="00B81409"/>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150B"/>
    <w:rsid w:val="00BA1B78"/>
    <w:rsid w:val="00BA30DE"/>
    <w:rsid w:val="00BA5B60"/>
    <w:rsid w:val="00BA64C7"/>
    <w:rsid w:val="00BA6C69"/>
    <w:rsid w:val="00BA7095"/>
    <w:rsid w:val="00BA7F76"/>
    <w:rsid w:val="00BB0773"/>
    <w:rsid w:val="00BB08DD"/>
    <w:rsid w:val="00BB3441"/>
    <w:rsid w:val="00BB3523"/>
    <w:rsid w:val="00BB3693"/>
    <w:rsid w:val="00BB4D14"/>
    <w:rsid w:val="00BB4DDF"/>
    <w:rsid w:val="00BB5CD8"/>
    <w:rsid w:val="00BB6E06"/>
    <w:rsid w:val="00BB72FF"/>
    <w:rsid w:val="00BC233D"/>
    <w:rsid w:val="00BC2C56"/>
    <w:rsid w:val="00BC3BD5"/>
    <w:rsid w:val="00BC52F6"/>
    <w:rsid w:val="00BC6156"/>
    <w:rsid w:val="00BC616E"/>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C5B"/>
    <w:rsid w:val="00BF0D01"/>
    <w:rsid w:val="00BF45C3"/>
    <w:rsid w:val="00BF5E47"/>
    <w:rsid w:val="00C00626"/>
    <w:rsid w:val="00C01CA9"/>
    <w:rsid w:val="00C021C7"/>
    <w:rsid w:val="00C037BB"/>
    <w:rsid w:val="00C05158"/>
    <w:rsid w:val="00C0536C"/>
    <w:rsid w:val="00C05B28"/>
    <w:rsid w:val="00C061D1"/>
    <w:rsid w:val="00C0652A"/>
    <w:rsid w:val="00C10523"/>
    <w:rsid w:val="00C11189"/>
    <w:rsid w:val="00C11713"/>
    <w:rsid w:val="00C118C8"/>
    <w:rsid w:val="00C1358B"/>
    <w:rsid w:val="00C14E33"/>
    <w:rsid w:val="00C15AB3"/>
    <w:rsid w:val="00C15FA8"/>
    <w:rsid w:val="00C16067"/>
    <w:rsid w:val="00C20DA5"/>
    <w:rsid w:val="00C24FCF"/>
    <w:rsid w:val="00C3228D"/>
    <w:rsid w:val="00C329D8"/>
    <w:rsid w:val="00C3709C"/>
    <w:rsid w:val="00C429CD"/>
    <w:rsid w:val="00C45F1A"/>
    <w:rsid w:val="00C46CA7"/>
    <w:rsid w:val="00C474B5"/>
    <w:rsid w:val="00C47843"/>
    <w:rsid w:val="00C47AD8"/>
    <w:rsid w:val="00C50422"/>
    <w:rsid w:val="00C52E3F"/>
    <w:rsid w:val="00C53206"/>
    <w:rsid w:val="00C53817"/>
    <w:rsid w:val="00C53A7B"/>
    <w:rsid w:val="00C54B8B"/>
    <w:rsid w:val="00C573F9"/>
    <w:rsid w:val="00C57CF4"/>
    <w:rsid w:val="00C60805"/>
    <w:rsid w:val="00C64054"/>
    <w:rsid w:val="00C64316"/>
    <w:rsid w:val="00C66319"/>
    <w:rsid w:val="00C67B29"/>
    <w:rsid w:val="00C70CA7"/>
    <w:rsid w:val="00C74DF3"/>
    <w:rsid w:val="00C74E84"/>
    <w:rsid w:val="00C754EE"/>
    <w:rsid w:val="00C76604"/>
    <w:rsid w:val="00C80776"/>
    <w:rsid w:val="00C80A5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97160"/>
    <w:rsid w:val="00CA0100"/>
    <w:rsid w:val="00CA14A8"/>
    <w:rsid w:val="00CA2300"/>
    <w:rsid w:val="00CA28D6"/>
    <w:rsid w:val="00CA3BB0"/>
    <w:rsid w:val="00CA619B"/>
    <w:rsid w:val="00CA63DF"/>
    <w:rsid w:val="00CA6680"/>
    <w:rsid w:val="00CA7788"/>
    <w:rsid w:val="00CA7EB7"/>
    <w:rsid w:val="00CB2014"/>
    <w:rsid w:val="00CB3FCE"/>
    <w:rsid w:val="00CB52D1"/>
    <w:rsid w:val="00CB675F"/>
    <w:rsid w:val="00CC0F69"/>
    <w:rsid w:val="00CC15DA"/>
    <w:rsid w:val="00CC51A3"/>
    <w:rsid w:val="00CC6A17"/>
    <w:rsid w:val="00CD1CD1"/>
    <w:rsid w:val="00CD1E62"/>
    <w:rsid w:val="00CD3BAD"/>
    <w:rsid w:val="00CD65E8"/>
    <w:rsid w:val="00CD6BEB"/>
    <w:rsid w:val="00CD7500"/>
    <w:rsid w:val="00CE043B"/>
    <w:rsid w:val="00CE088D"/>
    <w:rsid w:val="00CE3DC7"/>
    <w:rsid w:val="00CE40D6"/>
    <w:rsid w:val="00CE4181"/>
    <w:rsid w:val="00CE4C86"/>
    <w:rsid w:val="00CE4E65"/>
    <w:rsid w:val="00CE55B6"/>
    <w:rsid w:val="00CE64EA"/>
    <w:rsid w:val="00CE66C6"/>
    <w:rsid w:val="00CE758D"/>
    <w:rsid w:val="00CE795A"/>
    <w:rsid w:val="00CF3D52"/>
    <w:rsid w:val="00CF48F4"/>
    <w:rsid w:val="00CF5471"/>
    <w:rsid w:val="00CF6F1A"/>
    <w:rsid w:val="00CF739A"/>
    <w:rsid w:val="00CF773C"/>
    <w:rsid w:val="00D005D2"/>
    <w:rsid w:val="00D01B94"/>
    <w:rsid w:val="00D01EB4"/>
    <w:rsid w:val="00D02D15"/>
    <w:rsid w:val="00D05846"/>
    <w:rsid w:val="00D05B38"/>
    <w:rsid w:val="00D1026D"/>
    <w:rsid w:val="00D108C7"/>
    <w:rsid w:val="00D10E79"/>
    <w:rsid w:val="00D1128A"/>
    <w:rsid w:val="00D11465"/>
    <w:rsid w:val="00D1215C"/>
    <w:rsid w:val="00D1290E"/>
    <w:rsid w:val="00D12C6E"/>
    <w:rsid w:val="00D12E56"/>
    <w:rsid w:val="00D12ED8"/>
    <w:rsid w:val="00D1374F"/>
    <w:rsid w:val="00D1445E"/>
    <w:rsid w:val="00D14694"/>
    <w:rsid w:val="00D16CF8"/>
    <w:rsid w:val="00D17638"/>
    <w:rsid w:val="00D21341"/>
    <w:rsid w:val="00D21ABA"/>
    <w:rsid w:val="00D22DCD"/>
    <w:rsid w:val="00D2464E"/>
    <w:rsid w:val="00D24D4B"/>
    <w:rsid w:val="00D25E22"/>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51E6"/>
    <w:rsid w:val="00D460F9"/>
    <w:rsid w:val="00D50BCB"/>
    <w:rsid w:val="00D5150B"/>
    <w:rsid w:val="00D51580"/>
    <w:rsid w:val="00D52F01"/>
    <w:rsid w:val="00D5309E"/>
    <w:rsid w:val="00D53167"/>
    <w:rsid w:val="00D53F46"/>
    <w:rsid w:val="00D54627"/>
    <w:rsid w:val="00D556B5"/>
    <w:rsid w:val="00D55A85"/>
    <w:rsid w:val="00D55C5B"/>
    <w:rsid w:val="00D56F57"/>
    <w:rsid w:val="00D603B7"/>
    <w:rsid w:val="00D61E8F"/>
    <w:rsid w:val="00D637F7"/>
    <w:rsid w:val="00D64EB4"/>
    <w:rsid w:val="00D65E38"/>
    <w:rsid w:val="00D72527"/>
    <w:rsid w:val="00D740C0"/>
    <w:rsid w:val="00D752AA"/>
    <w:rsid w:val="00D76556"/>
    <w:rsid w:val="00D76E8D"/>
    <w:rsid w:val="00D8038B"/>
    <w:rsid w:val="00D81C76"/>
    <w:rsid w:val="00D83E21"/>
    <w:rsid w:val="00D84D83"/>
    <w:rsid w:val="00D85727"/>
    <w:rsid w:val="00D8609B"/>
    <w:rsid w:val="00D90138"/>
    <w:rsid w:val="00D901DA"/>
    <w:rsid w:val="00D92240"/>
    <w:rsid w:val="00D924BD"/>
    <w:rsid w:val="00D92F9C"/>
    <w:rsid w:val="00D95A92"/>
    <w:rsid w:val="00D96F46"/>
    <w:rsid w:val="00DA0956"/>
    <w:rsid w:val="00DA19C4"/>
    <w:rsid w:val="00DA20E4"/>
    <w:rsid w:val="00DA2CED"/>
    <w:rsid w:val="00DA2D04"/>
    <w:rsid w:val="00DA3873"/>
    <w:rsid w:val="00DA4E11"/>
    <w:rsid w:val="00DA4F0C"/>
    <w:rsid w:val="00DA57B5"/>
    <w:rsid w:val="00DA5FE8"/>
    <w:rsid w:val="00DA6AEC"/>
    <w:rsid w:val="00DB1E70"/>
    <w:rsid w:val="00DB31C3"/>
    <w:rsid w:val="00DB3E8A"/>
    <w:rsid w:val="00DB445F"/>
    <w:rsid w:val="00DB5BF6"/>
    <w:rsid w:val="00DB5D1C"/>
    <w:rsid w:val="00DB72D5"/>
    <w:rsid w:val="00DC410B"/>
    <w:rsid w:val="00DC583B"/>
    <w:rsid w:val="00DC66AA"/>
    <w:rsid w:val="00DC68F4"/>
    <w:rsid w:val="00DC6E05"/>
    <w:rsid w:val="00DC715C"/>
    <w:rsid w:val="00DC7B0F"/>
    <w:rsid w:val="00DD1769"/>
    <w:rsid w:val="00DD48B2"/>
    <w:rsid w:val="00DE2705"/>
    <w:rsid w:val="00DE3ADB"/>
    <w:rsid w:val="00DE4A0D"/>
    <w:rsid w:val="00DE5089"/>
    <w:rsid w:val="00DE57EE"/>
    <w:rsid w:val="00DE6481"/>
    <w:rsid w:val="00DE6B0C"/>
    <w:rsid w:val="00DE70B4"/>
    <w:rsid w:val="00DF0BDC"/>
    <w:rsid w:val="00DF16F0"/>
    <w:rsid w:val="00DF2657"/>
    <w:rsid w:val="00DF283A"/>
    <w:rsid w:val="00DF50E1"/>
    <w:rsid w:val="00DF6EE9"/>
    <w:rsid w:val="00DF7345"/>
    <w:rsid w:val="00DF7C4D"/>
    <w:rsid w:val="00E000B4"/>
    <w:rsid w:val="00E00484"/>
    <w:rsid w:val="00E0093B"/>
    <w:rsid w:val="00E00B75"/>
    <w:rsid w:val="00E01292"/>
    <w:rsid w:val="00E03D17"/>
    <w:rsid w:val="00E055F9"/>
    <w:rsid w:val="00E07673"/>
    <w:rsid w:val="00E07C27"/>
    <w:rsid w:val="00E12DFF"/>
    <w:rsid w:val="00E141A9"/>
    <w:rsid w:val="00E15F28"/>
    <w:rsid w:val="00E1645B"/>
    <w:rsid w:val="00E168D1"/>
    <w:rsid w:val="00E1776E"/>
    <w:rsid w:val="00E17901"/>
    <w:rsid w:val="00E20D22"/>
    <w:rsid w:val="00E23C48"/>
    <w:rsid w:val="00E2420F"/>
    <w:rsid w:val="00E24A94"/>
    <w:rsid w:val="00E26D6C"/>
    <w:rsid w:val="00E27B23"/>
    <w:rsid w:val="00E30203"/>
    <w:rsid w:val="00E30BEE"/>
    <w:rsid w:val="00E31F67"/>
    <w:rsid w:val="00E32961"/>
    <w:rsid w:val="00E33BD4"/>
    <w:rsid w:val="00E35561"/>
    <w:rsid w:val="00E36C3B"/>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660E"/>
    <w:rsid w:val="00E5710D"/>
    <w:rsid w:val="00E5720E"/>
    <w:rsid w:val="00E6044C"/>
    <w:rsid w:val="00E629EB"/>
    <w:rsid w:val="00E62B4B"/>
    <w:rsid w:val="00E6687E"/>
    <w:rsid w:val="00E67C16"/>
    <w:rsid w:val="00E70B02"/>
    <w:rsid w:val="00E720EE"/>
    <w:rsid w:val="00E7236E"/>
    <w:rsid w:val="00E72999"/>
    <w:rsid w:val="00E72C40"/>
    <w:rsid w:val="00E73E04"/>
    <w:rsid w:val="00E75115"/>
    <w:rsid w:val="00E75F47"/>
    <w:rsid w:val="00E764A2"/>
    <w:rsid w:val="00E767AE"/>
    <w:rsid w:val="00E76C97"/>
    <w:rsid w:val="00E778BB"/>
    <w:rsid w:val="00E77A17"/>
    <w:rsid w:val="00E77FA5"/>
    <w:rsid w:val="00E806AF"/>
    <w:rsid w:val="00E82378"/>
    <w:rsid w:val="00E85965"/>
    <w:rsid w:val="00E862C9"/>
    <w:rsid w:val="00E872C6"/>
    <w:rsid w:val="00E9080D"/>
    <w:rsid w:val="00E90DAE"/>
    <w:rsid w:val="00E90EAA"/>
    <w:rsid w:val="00E90EAF"/>
    <w:rsid w:val="00E9183F"/>
    <w:rsid w:val="00E925F9"/>
    <w:rsid w:val="00E94520"/>
    <w:rsid w:val="00E94C91"/>
    <w:rsid w:val="00E961CC"/>
    <w:rsid w:val="00EA3E3F"/>
    <w:rsid w:val="00EA4141"/>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59C"/>
    <w:rsid w:val="00EC78BA"/>
    <w:rsid w:val="00ED152B"/>
    <w:rsid w:val="00ED24FF"/>
    <w:rsid w:val="00ED2D46"/>
    <w:rsid w:val="00ED45D7"/>
    <w:rsid w:val="00ED5668"/>
    <w:rsid w:val="00ED5ADF"/>
    <w:rsid w:val="00ED79B0"/>
    <w:rsid w:val="00ED7E54"/>
    <w:rsid w:val="00EE0737"/>
    <w:rsid w:val="00EE25F8"/>
    <w:rsid w:val="00EE3CDC"/>
    <w:rsid w:val="00EE43B4"/>
    <w:rsid w:val="00EE4E93"/>
    <w:rsid w:val="00EE76B5"/>
    <w:rsid w:val="00EE7C4A"/>
    <w:rsid w:val="00EE7EE4"/>
    <w:rsid w:val="00EF267B"/>
    <w:rsid w:val="00EF3666"/>
    <w:rsid w:val="00EF63B7"/>
    <w:rsid w:val="00F02C6A"/>
    <w:rsid w:val="00F02E64"/>
    <w:rsid w:val="00F038B1"/>
    <w:rsid w:val="00F038EB"/>
    <w:rsid w:val="00F03D37"/>
    <w:rsid w:val="00F04420"/>
    <w:rsid w:val="00F04B2E"/>
    <w:rsid w:val="00F051CF"/>
    <w:rsid w:val="00F05427"/>
    <w:rsid w:val="00F05C9F"/>
    <w:rsid w:val="00F06395"/>
    <w:rsid w:val="00F06868"/>
    <w:rsid w:val="00F11186"/>
    <w:rsid w:val="00F111D9"/>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5B5E"/>
    <w:rsid w:val="00F27D26"/>
    <w:rsid w:val="00F31D18"/>
    <w:rsid w:val="00F31E85"/>
    <w:rsid w:val="00F32A67"/>
    <w:rsid w:val="00F337A3"/>
    <w:rsid w:val="00F36A0F"/>
    <w:rsid w:val="00F436CB"/>
    <w:rsid w:val="00F46E1F"/>
    <w:rsid w:val="00F47478"/>
    <w:rsid w:val="00F47B0C"/>
    <w:rsid w:val="00F47FF8"/>
    <w:rsid w:val="00F50138"/>
    <w:rsid w:val="00F5076E"/>
    <w:rsid w:val="00F51FBE"/>
    <w:rsid w:val="00F5202C"/>
    <w:rsid w:val="00F52286"/>
    <w:rsid w:val="00F52D31"/>
    <w:rsid w:val="00F543C6"/>
    <w:rsid w:val="00F54BFC"/>
    <w:rsid w:val="00F55990"/>
    <w:rsid w:val="00F5720B"/>
    <w:rsid w:val="00F61427"/>
    <w:rsid w:val="00F617F4"/>
    <w:rsid w:val="00F62C1C"/>
    <w:rsid w:val="00F62DFB"/>
    <w:rsid w:val="00F63101"/>
    <w:rsid w:val="00F6564F"/>
    <w:rsid w:val="00F66AA7"/>
    <w:rsid w:val="00F66F99"/>
    <w:rsid w:val="00F71B52"/>
    <w:rsid w:val="00F72760"/>
    <w:rsid w:val="00F74BAB"/>
    <w:rsid w:val="00F74C8A"/>
    <w:rsid w:val="00F7618F"/>
    <w:rsid w:val="00F76D08"/>
    <w:rsid w:val="00F81DF8"/>
    <w:rsid w:val="00F82EA9"/>
    <w:rsid w:val="00F83192"/>
    <w:rsid w:val="00F831DB"/>
    <w:rsid w:val="00F83B26"/>
    <w:rsid w:val="00F858CB"/>
    <w:rsid w:val="00F860D6"/>
    <w:rsid w:val="00F86917"/>
    <w:rsid w:val="00F86E84"/>
    <w:rsid w:val="00F90CDB"/>
    <w:rsid w:val="00F950BB"/>
    <w:rsid w:val="00FA0241"/>
    <w:rsid w:val="00FA08D2"/>
    <w:rsid w:val="00FA17CB"/>
    <w:rsid w:val="00FA19E3"/>
    <w:rsid w:val="00FA2BAA"/>
    <w:rsid w:val="00FA3405"/>
    <w:rsid w:val="00FA5C5F"/>
    <w:rsid w:val="00FA692E"/>
    <w:rsid w:val="00FB1AB8"/>
    <w:rsid w:val="00FB2B14"/>
    <w:rsid w:val="00FB31D3"/>
    <w:rsid w:val="00FB57A5"/>
    <w:rsid w:val="00FB5DB6"/>
    <w:rsid w:val="00FC0C40"/>
    <w:rsid w:val="00FC0F63"/>
    <w:rsid w:val="00FC2CCD"/>
    <w:rsid w:val="00FC4DD1"/>
    <w:rsid w:val="00FD155B"/>
    <w:rsid w:val="00FD186A"/>
    <w:rsid w:val="00FD2730"/>
    <w:rsid w:val="00FD32F5"/>
    <w:rsid w:val="00FD36CB"/>
    <w:rsid w:val="00FD38A9"/>
    <w:rsid w:val="00FD4589"/>
    <w:rsid w:val="00FD4644"/>
    <w:rsid w:val="00FD5091"/>
    <w:rsid w:val="00FD60F4"/>
    <w:rsid w:val="00FD6ECC"/>
    <w:rsid w:val="00FE04EE"/>
    <w:rsid w:val="00FE12A7"/>
    <w:rsid w:val="00FE3C9B"/>
    <w:rsid w:val="00FE471C"/>
    <w:rsid w:val="00FE5379"/>
    <w:rsid w:val="00FE6590"/>
    <w:rsid w:val="00FE65F3"/>
    <w:rsid w:val="00FE7988"/>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2F72A-073F-4D3F-B6E5-FBA13D44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uiPriority w:val="99"/>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F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39878835">
      <w:bodyDiv w:val="1"/>
      <w:marLeft w:val="0"/>
      <w:marRight w:val="0"/>
      <w:marTop w:val="0"/>
      <w:marBottom w:val="0"/>
      <w:divBdr>
        <w:top w:val="none" w:sz="0" w:space="0" w:color="auto"/>
        <w:left w:val="none" w:sz="0" w:space="0" w:color="auto"/>
        <w:bottom w:val="none" w:sz="0" w:space="0" w:color="auto"/>
        <w:right w:val="none" w:sz="0" w:space="0" w:color="auto"/>
      </w:divBdr>
    </w:div>
    <w:div w:id="493879456">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3395845">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30157285">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07164799">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7093999">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45507324">
      <w:bodyDiv w:val="1"/>
      <w:marLeft w:val="0"/>
      <w:marRight w:val="0"/>
      <w:marTop w:val="0"/>
      <w:marBottom w:val="0"/>
      <w:divBdr>
        <w:top w:val="none" w:sz="0" w:space="0" w:color="auto"/>
        <w:left w:val="none" w:sz="0" w:space="0" w:color="auto"/>
        <w:bottom w:val="none" w:sz="0" w:space="0" w:color="auto"/>
        <w:right w:val="none" w:sz="0" w:space="0" w:color="auto"/>
      </w:divBdr>
      <w:divsChild>
        <w:div w:id="729959167">
          <w:marLeft w:val="0"/>
          <w:marRight w:val="0"/>
          <w:marTop w:val="0"/>
          <w:marBottom w:val="0"/>
          <w:divBdr>
            <w:top w:val="none" w:sz="0" w:space="0" w:color="auto"/>
            <w:left w:val="none" w:sz="0" w:space="0" w:color="auto"/>
            <w:bottom w:val="none" w:sz="0" w:space="0" w:color="auto"/>
            <w:right w:val="none" w:sz="0" w:space="0" w:color="auto"/>
          </w:divBdr>
          <w:divsChild>
            <w:div w:id="1411928434">
              <w:marLeft w:val="0"/>
              <w:marRight w:val="0"/>
              <w:marTop w:val="0"/>
              <w:marBottom w:val="0"/>
              <w:divBdr>
                <w:top w:val="none" w:sz="0" w:space="0" w:color="auto"/>
                <w:left w:val="none" w:sz="0" w:space="0" w:color="auto"/>
                <w:bottom w:val="none" w:sz="0" w:space="0" w:color="auto"/>
                <w:right w:val="none" w:sz="0" w:space="0" w:color="auto"/>
              </w:divBdr>
              <w:divsChild>
                <w:div w:id="938563068">
                  <w:marLeft w:val="0"/>
                  <w:marRight w:val="0"/>
                  <w:marTop w:val="0"/>
                  <w:marBottom w:val="0"/>
                  <w:divBdr>
                    <w:top w:val="none" w:sz="0" w:space="0" w:color="auto"/>
                    <w:left w:val="none" w:sz="0" w:space="0" w:color="auto"/>
                    <w:bottom w:val="none" w:sz="0" w:space="0" w:color="auto"/>
                    <w:right w:val="none" w:sz="0" w:space="0" w:color="auto"/>
                  </w:divBdr>
                  <w:divsChild>
                    <w:div w:id="661667799">
                      <w:marLeft w:val="0"/>
                      <w:marRight w:val="0"/>
                      <w:marTop w:val="0"/>
                      <w:marBottom w:val="0"/>
                      <w:divBdr>
                        <w:top w:val="none" w:sz="0" w:space="0" w:color="auto"/>
                        <w:left w:val="none" w:sz="0" w:space="0" w:color="auto"/>
                        <w:bottom w:val="none" w:sz="0" w:space="0" w:color="auto"/>
                        <w:right w:val="none" w:sz="0" w:space="0" w:color="auto"/>
                      </w:divBdr>
                      <w:divsChild>
                        <w:div w:id="1980842863">
                          <w:marLeft w:val="0"/>
                          <w:marRight w:val="0"/>
                          <w:marTop w:val="0"/>
                          <w:marBottom w:val="0"/>
                          <w:divBdr>
                            <w:top w:val="none" w:sz="0" w:space="0" w:color="auto"/>
                            <w:left w:val="none" w:sz="0" w:space="0" w:color="auto"/>
                            <w:bottom w:val="none" w:sz="0" w:space="0" w:color="auto"/>
                            <w:right w:val="none" w:sz="0" w:space="0" w:color="auto"/>
                          </w:divBdr>
                          <w:divsChild>
                            <w:div w:id="1260872360">
                              <w:marLeft w:val="0"/>
                              <w:marRight w:val="0"/>
                              <w:marTop w:val="0"/>
                              <w:marBottom w:val="0"/>
                              <w:divBdr>
                                <w:top w:val="none" w:sz="0" w:space="0" w:color="auto"/>
                                <w:left w:val="none" w:sz="0" w:space="0" w:color="auto"/>
                                <w:bottom w:val="none" w:sz="0" w:space="0" w:color="auto"/>
                                <w:right w:val="none" w:sz="0" w:space="0" w:color="auto"/>
                              </w:divBdr>
                              <w:divsChild>
                                <w:div w:id="674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26704">
      <w:bodyDiv w:val="1"/>
      <w:marLeft w:val="0"/>
      <w:marRight w:val="0"/>
      <w:marTop w:val="0"/>
      <w:marBottom w:val="0"/>
      <w:divBdr>
        <w:top w:val="none" w:sz="0" w:space="0" w:color="auto"/>
        <w:left w:val="none" w:sz="0" w:space="0" w:color="auto"/>
        <w:bottom w:val="none" w:sz="0" w:space="0" w:color="auto"/>
        <w:right w:val="none" w:sz="0" w:space="0" w:color="auto"/>
      </w:divBdr>
    </w:div>
    <w:div w:id="1173766980">
      <w:bodyDiv w:val="1"/>
      <w:marLeft w:val="0"/>
      <w:marRight w:val="0"/>
      <w:marTop w:val="0"/>
      <w:marBottom w:val="0"/>
      <w:divBdr>
        <w:top w:val="none" w:sz="0" w:space="0" w:color="auto"/>
        <w:left w:val="none" w:sz="0" w:space="0" w:color="auto"/>
        <w:bottom w:val="none" w:sz="0" w:space="0" w:color="auto"/>
        <w:right w:val="none" w:sz="0" w:space="0" w:color="auto"/>
      </w:divBdr>
      <w:divsChild>
        <w:div w:id="1647658928">
          <w:marLeft w:val="0"/>
          <w:marRight w:val="0"/>
          <w:marTop w:val="0"/>
          <w:marBottom w:val="0"/>
          <w:divBdr>
            <w:top w:val="none" w:sz="0" w:space="0" w:color="auto"/>
            <w:left w:val="none" w:sz="0" w:space="0" w:color="auto"/>
            <w:bottom w:val="none" w:sz="0" w:space="0" w:color="auto"/>
            <w:right w:val="none" w:sz="0" w:space="0" w:color="auto"/>
          </w:divBdr>
          <w:divsChild>
            <w:div w:id="490754413">
              <w:marLeft w:val="0"/>
              <w:marRight w:val="0"/>
              <w:marTop w:val="0"/>
              <w:marBottom w:val="0"/>
              <w:divBdr>
                <w:top w:val="none" w:sz="0" w:space="0" w:color="auto"/>
                <w:left w:val="none" w:sz="0" w:space="0" w:color="auto"/>
                <w:bottom w:val="none" w:sz="0" w:space="0" w:color="auto"/>
                <w:right w:val="none" w:sz="0" w:space="0" w:color="auto"/>
              </w:divBdr>
              <w:divsChild>
                <w:div w:id="1219442125">
                  <w:marLeft w:val="0"/>
                  <w:marRight w:val="0"/>
                  <w:marTop w:val="0"/>
                  <w:marBottom w:val="0"/>
                  <w:divBdr>
                    <w:top w:val="none" w:sz="0" w:space="0" w:color="auto"/>
                    <w:left w:val="none" w:sz="0" w:space="0" w:color="auto"/>
                    <w:bottom w:val="none" w:sz="0" w:space="0" w:color="auto"/>
                    <w:right w:val="none" w:sz="0" w:space="0" w:color="auto"/>
                  </w:divBdr>
                  <w:divsChild>
                    <w:div w:id="330181206">
                      <w:marLeft w:val="0"/>
                      <w:marRight w:val="0"/>
                      <w:marTop w:val="0"/>
                      <w:marBottom w:val="0"/>
                      <w:divBdr>
                        <w:top w:val="none" w:sz="0" w:space="0" w:color="auto"/>
                        <w:left w:val="none" w:sz="0" w:space="0" w:color="auto"/>
                        <w:bottom w:val="none" w:sz="0" w:space="0" w:color="auto"/>
                        <w:right w:val="none" w:sz="0" w:space="0" w:color="auto"/>
                      </w:divBdr>
                      <w:divsChild>
                        <w:div w:id="868762145">
                          <w:marLeft w:val="0"/>
                          <w:marRight w:val="0"/>
                          <w:marTop w:val="0"/>
                          <w:marBottom w:val="0"/>
                          <w:divBdr>
                            <w:top w:val="none" w:sz="0" w:space="0" w:color="auto"/>
                            <w:left w:val="none" w:sz="0" w:space="0" w:color="auto"/>
                            <w:bottom w:val="none" w:sz="0" w:space="0" w:color="auto"/>
                            <w:right w:val="none" w:sz="0" w:space="0" w:color="auto"/>
                          </w:divBdr>
                          <w:divsChild>
                            <w:div w:id="1629047094">
                              <w:marLeft w:val="0"/>
                              <w:marRight w:val="0"/>
                              <w:marTop w:val="0"/>
                              <w:marBottom w:val="0"/>
                              <w:divBdr>
                                <w:top w:val="none" w:sz="0" w:space="0" w:color="auto"/>
                                <w:left w:val="none" w:sz="0" w:space="0" w:color="auto"/>
                                <w:bottom w:val="none" w:sz="0" w:space="0" w:color="auto"/>
                                <w:right w:val="none" w:sz="0" w:space="0" w:color="auto"/>
                              </w:divBdr>
                              <w:divsChild>
                                <w:div w:id="423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488013483">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834449347">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0082-FE0B-4425-9E0B-16920DE6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7878</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Riepenkroger, Karen S [CNO]</cp:lastModifiedBy>
  <cp:revision>2</cp:revision>
  <cp:lastPrinted>2013-12-16T21:39:00Z</cp:lastPrinted>
  <dcterms:created xsi:type="dcterms:W3CDTF">2016-03-22T21:33:00Z</dcterms:created>
  <dcterms:modified xsi:type="dcterms:W3CDTF">2016-03-22T21:33:00Z</dcterms:modified>
</cp:coreProperties>
</file>