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E26744">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274"/>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C73CBC" w:rsidRDefault="00C73CBC" w:rsidP="009503F2">
            <w:pPr>
              <w:rPr>
                <w:rStyle w:val="Strong"/>
                <w:rFonts w:ascii="Arial" w:hAnsi="Arial" w:cs="Arial"/>
                <w:b w:val="0"/>
                <w:bCs w:val="0"/>
                <w:sz w:val="20"/>
                <w:szCs w:val="20"/>
              </w:rPr>
            </w:pPr>
            <w:r>
              <w:rPr>
                <w:rStyle w:val="Strong"/>
                <w:rFonts w:ascii="Arial" w:hAnsi="Arial" w:cs="Arial"/>
                <w:b w:val="0"/>
                <w:bCs w:val="0"/>
                <w:sz w:val="20"/>
                <w:szCs w:val="20"/>
              </w:rPr>
              <w:t>Cox Communications – Beth O’Donnell</w:t>
            </w:r>
          </w:p>
          <w:p w:rsidR="009503F2" w:rsidRPr="009503F2" w:rsidRDefault="009503F2" w:rsidP="009503F2">
            <w:pPr>
              <w:rPr>
                <w:rStyle w:val="Strong"/>
                <w:rFonts w:ascii="Arial" w:hAnsi="Arial" w:cs="Arial"/>
                <w:b w:val="0"/>
                <w:bCs w:val="0"/>
                <w:sz w:val="20"/>
                <w:szCs w:val="20"/>
              </w:rPr>
            </w:pPr>
            <w:r w:rsidRPr="009503F2">
              <w:rPr>
                <w:rStyle w:val="Strong"/>
                <w:rFonts w:ascii="Arial" w:hAnsi="Arial" w:cs="Arial"/>
                <w:b w:val="0"/>
                <w:bCs w:val="0"/>
                <w:sz w:val="20"/>
                <w:szCs w:val="20"/>
              </w:rPr>
              <w:t>PA PUC  -  Chris Hepburn</w:t>
            </w:r>
          </w:p>
          <w:p w:rsidR="0089202D" w:rsidRPr="009503F2" w:rsidRDefault="0089202D" w:rsidP="009503F2">
            <w:pPr>
              <w:rPr>
                <w:rFonts w:ascii="Arial" w:hAnsi="Arial" w:cs="Arial"/>
                <w:sz w:val="20"/>
                <w:szCs w:val="20"/>
              </w:rPr>
            </w:pPr>
            <w:r w:rsidRPr="009503F2">
              <w:rPr>
                <w:rFonts w:ascii="Arial" w:hAnsi="Arial" w:cs="Arial"/>
                <w:sz w:val="20"/>
                <w:szCs w:val="20"/>
              </w:rPr>
              <w:t>Sprint – Shaunna Forshee</w:t>
            </w:r>
          </w:p>
          <w:p w:rsidR="0089202D" w:rsidRPr="009503F2" w:rsidRDefault="00CD07B4" w:rsidP="009503F2">
            <w:pPr>
              <w:rPr>
                <w:rFonts w:ascii="Arial" w:hAnsi="Arial" w:cs="Arial"/>
                <w:sz w:val="20"/>
                <w:szCs w:val="20"/>
              </w:rPr>
            </w:pPr>
            <w:r w:rsidRPr="009503F2">
              <w:rPr>
                <w:rFonts w:ascii="Arial" w:hAnsi="Arial" w:cs="Arial"/>
                <w:sz w:val="20"/>
                <w:szCs w:val="20"/>
              </w:rPr>
              <w:t>Sprint – Karen Riepenkroger</w:t>
            </w:r>
          </w:p>
          <w:p w:rsidR="00877790" w:rsidRPr="009503F2" w:rsidRDefault="00877790" w:rsidP="009503F2">
            <w:pPr>
              <w:rPr>
                <w:rFonts w:ascii="Arial" w:hAnsi="Arial" w:cs="Arial"/>
                <w:sz w:val="20"/>
                <w:szCs w:val="20"/>
              </w:rPr>
            </w:pPr>
            <w:r w:rsidRPr="009503F2">
              <w:rPr>
                <w:rFonts w:ascii="Arial" w:hAnsi="Arial" w:cs="Arial"/>
                <w:sz w:val="20"/>
                <w:szCs w:val="20"/>
              </w:rPr>
              <w:t>T-Mobile – Cathie Capita</w:t>
            </w:r>
          </w:p>
          <w:p w:rsidR="0089202D" w:rsidRPr="009503F2" w:rsidRDefault="0089202D" w:rsidP="009503F2">
            <w:pPr>
              <w:rPr>
                <w:rFonts w:ascii="Arial" w:hAnsi="Arial" w:cs="Arial"/>
                <w:sz w:val="20"/>
                <w:szCs w:val="20"/>
              </w:rPr>
            </w:pPr>
            <w:r w:rsidRPr="009503F2">
              <w:rPr>
                <w:rFonts w:ascii="Arial" w:hAnsi="Arial" w:cs="Arial"/>
                <w:sz w:val="20"/>
                <w:szCs w:val="20"/>
              </w:rPr>
              <w:t>Verizon Communications – Laura Dalton</w:t>
            </w:r>
          </w:p>
          <w:p w:rsidR="0089202D" w:rsidRPr="009503F2" w:rsidRDefault="0089202D" w:rsidP="009503F2">
            <w:pPr>
              <w:rPr>
                <w:rFonts w:ascii="Arial" w:hAnsi="Arial" w:cs="Arial"/>
                <w:sz w:val="20"/>
                <w:szCs w:val="20"/>
              </w:rPr>
            </w:pPr>
            <w:r w:rsidRPr="009503F2">
              <w:rPr>
                <w:rFonts w:ascii="Arial" w:hAnsi="Arial" w:cs="Arial"/>
                <w:sz w:val="20"/>
                <w:szCs w:val="20"/>
              </w:rPr>
              <w:t>Verizon Wireless – Dana Crandall</w:t>
            </w:r>
          </w:p>
          <w:p w:rsidR="00F60D62" w:rsidRPr="009503F2" w:rsidRDefault="00F60D62" w:rsidP="0089202D">
            <w:pPr>
              <w:ind w:left="60"/>
            </w:pPr>
          </w:p>
          <w:p w:rsidR="00BD5DA3" w:rsidRPr="009503F2" w:rsidRDefault="00BD5DA3" w:rsidP="004F0CFE">
            <w:pPr>
              <w:rPr>
                <w:rStyle w:val="Strong"/>
                <w:rFonts w:ascii="Arial" w:hAnsi="Arial" w:cs="Arial"/>
                <w:b w:val="0"/>
                <w:bCs w:val="0"/>
                <w:color w:val="BFBFBF"/>
                <w:sz w:val="20"/>
                <w:szCs w:val="20"/>
              </w:rPr>
            </w:pPr>
          </w:p>
        </w:tc>
        <w:tc>
          <w:tcPr>
            <w:tcW w:w="4397" w:type="dxa"/>
            <w:shd w:val="clear" w:color="auto" w:fill="auto"/>
          </w:tcPr>
          <w:p w:rsidR="0089202D" w:rsidRPr="009503F2" w:rsidRDefault="0089202D" w:rsidP="0089202D">
            <w:pPr>
              <w:ind w:left="60"/>
              <w:rPr>
                <w:rFonts w:ascii="Arial" w:hAnsi="Arial" w:cs="Arial"/>
                <w:sz w:val="20"/>
                <w:szCs w:val="20"/>
              </w:rPr>
            </w:pPr>
            <w:r w:rsidRPr="009503F2">
              <w:rPr>
                <w:rFonts w:ascii="Arial" w:hAnsi="Arial" w:cs="Arial"/>
                <w:sz w:val="20"/>
                <w:szCs w:val="20"/>
              </w:rPr>
              <w:t>Bruce Armstrong</w:t>
            </w:r>
          </w:p>
          <w:p w:rsidR="0089202D" w:rsidRPr="009503F2" w:rsidRDefault="0089202D" w:rsidP="0089202D">
            <w:pPr>
              <w:ind w:left="60"/>
              <w:rPr>
                <w:rFonts w:ascii="Arial" w:hAnsi="Arial" w:cs="Arial"/>
                <w:sz w:val="20"/>
                <w:szCs w:val="20"/>
              </w:rPr>
            </w:pPr>
            <w:r w:rsidRPr="009503F2">
              <w:rPr>
                <w:rFonts w:ascii="Arial" w:hAnsi="Arial" w:cs="Arial"/>
                <w:sz w:val="20"/>
                <w:szCs w:val="20"/>
              </w:rPr>
              <w:t>Jesse Armstrong</w:t>
            </w:r>
          </w:p>
          <w:p w:rsidR="00877790" w:rsidRPr="009503F2" w:rsidRDefault="00877790" w:rsidP="0089202D">
            <w:pPr>
              <w:ind w:left="60"/>
              <w:rPr>
                <w:rFonts w:ascii="Arial" w:hAnsi="Arial" w:cs="Arial"/>
                <w:sz w:val="20"/>
                <w:szCs w:val="20"/>
              </w:rPr>
            </w:pPr>
            <w:r w:rsidRPr="009503F2">
              <w:rPr>
                <w:rFonts w:ascii="Arial" w:hAnsi="Arial" w:cs="Arial"/>
                <w:sz w:val="20"/>
                <w:szCs w:val="20"/>
              </w:rPr>
              <w:t>Tara Farquhar</w:t>
            </w:r>
          </w:p>
          <w:p w:rsidR="0089202D" w:rsidRPr="009503F2" w:rsidRDefault="0089202D" w:rsidP="0089202D">
            <w:pPr>
              <w:ind w:left="60"/>
              <w:rPr>
                <w:rFonts w:ascii="Arial" w:hAnsi="Arial" w:cs="Arial"/>
                <w:sz w:val="20"/>
                <w:szCs w:val="20"/>
              </w:rPr>
            </w:pPr>
            <w:r w:rsidRPr="009503F2">
              <w:rPr>
                <w:rFonts w:ascii="Arial" w:hAnsi="Arial" w:cs="Arial"/>
                <w:sz w:val="20"/>
                <w:szCs w:val="20"/>
              </w:rPr>
              <w:t>Linda Hymans</w:t>
            </w:r>
          </w:p>
          <w:p w:rsidR="0089202D" w:rsidRPr="009503F2" w:rsidRDefault="0089202D" w:rsidP="0089202D">
            <w:pPr>
              <w:ind w:left="60"/>
              <w:rPr>
                <w:rFonts w:ascii="Arial" w:hAnsi="Arial" w:cs="Arial"/>
                <w:sz w:val="20"/>
                <w:szCs w:val="20"/>
              </w:rPr>
            </w:pPr>
            <w:r w:rsidRPr="009503F2">
              <w:rPr>
                <w:rFonts w:ascii="Arial" w:hAnsi="Arial" w:cs="Arial"/>
                <w:sz w:val="20"/>
                <w:szCs w:val="20"/>
              </w:rPr>
              <w:t>Cecilia McCabe</w:t>
            </w:r>
          </w:p>
          <w:p w:rsidR="0089202D" w:rsidRPr="009503F2" w:rsidRDefault="0089202D" w:rsidP="0089202D">
            <w:pPr>
              <w:ind w:left="60"/>
              <w:rPr>
                <w:rFonts w:ascii="Arial" w:hAnsi="Arial" w:cs="Arial"/>
                <w:sz w:val="20"/>
                <w:szCs w:val="20"/>
              </w:rPr>
            </w:pPr>
            <w:r w:rsidRPr="009503F2">
              <w:rPr>
                <w:rFonts w:ascii="Arial" w:hAnsi="Arial" w:cs="Arial"/>
                <w:sz w:val="20"/>
                <w:szCs w:val="20"/>
              </w:rPr>
              <w:t>Amy Putnam</w:t>
            </w:r>
          </w:p>
          <w:p w:rsidR="0089202D" w:rsidRPr="009503F2" w:rsidRDefault="0089202D" w:rsidP="0089202D">
            <w:pPr>
              <w:ind w:left="60"/>
              <w:rPr>
                <w:rFonts w:ascii="Arial" w:hAnsi="Arial" w:cs="Arial"/>
                <w:sz w:val="20"/>
                <w:szCs w:val="20"/>
              </w:rPr>
            </w:pPr>
            <w:r w:rsidRPr="009503F2">
              <w:rPr>
                <w:rFonts w:ascii="Arial" w:hAnsi="Arial" w:cs="Arial"/>
                <w:sz w:val="20"/>
                <w:szCs w:val="20"/>
              </w:rPr>
              <w:t>Shannon Sevigny</w:t>
            </w:r>
          </w:p>
          <w:p w:rsidR="00D86338" w:rsidRPr="009503F2" w:rsidRDefault="00D86338" w:rsidP="00F60D62">
            <w:pPr>
              <w:ind w:left="60"/>
              <w:rPr>
                <w:rFonts w:ascii="Arial" w:hAnsi="Arial" w:cs="Arial"/>
                <w:sz w:val="20"/>
                <w:szCs w:val="20"/>
              </w:rPr>
            </w:pPr>
          </w:p>
          <w:p w:rsidR="00E53CC9" w:rsidRPr="009503F2" w:rsidRDefault="00E53CC9" w:rsidP="00F60D62">
            <w:pPr>
              <w:ind w:left="60"/>
              <w:rPr>
                <w:rFonts w:ascii="Arial" w:hAnsi="Arial" w:cs="Arial"/>
                <w:sz w:val="20"/>
                <w:szCs w:val="20"/>
              </w:rPr>
            </w:pPr>
          </w:p>
          <w:p w:rsidR="00636120" w:rsidRPr="009503F2" w:rsidRDefault="00636120" w:rsidP="00A04D15">
            <w:pPr>
              <w:ind w:left="60"/>
              <w:rPr>
                <w:rStyle w:val="Strong"/>
                <w:rFonts w:ascii="Arial" w:hAnsi="Arial" w:cs="Arial"/>
                <w:b w:val="0"/>
                <w:sz w:val="20"/>
                <w:szCs w:val="20"/>
              </w:rPr>
            </w:pPr>
          </w:p>
          <w:p w:rsidR="00BD5DA3" w:rsidRPr="009503F2" w:rsidRDefault="00BD5DA3" w:rsidP="00A04D15">
            <w:pPr>
              <w:ind w:left="60"/>
              <w:rPr>
                <w:rStyle w:val="Strong"/>
                <w:rFonts w:ascii="Arial" w:hAnsi="Arial" w:cs="Arial"/>
                <w:b w:val="0"/>
                <w:sz w:val="20"/>
                <w:szCs w:val="20"/>
              </w:rPr>
            </w:pPr>
          </w:p>
          <w:p w:rsidR="00A84687" w:rsidRPr="009503F2"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567E53">
        <w:rPr>
          <w:rFonts w:ascii="Arial" w:hAnsi="Arial" w:cs="Arial"/>
          <w:b/>
          <w:sz w:val="20"/>
          <w:szCs w:val="20"/>
        </w:rPr>
        <w:t>February</w:t>
      </w:r>
      <w:r w:rsidR="00CD07B4">
        <w:rPr>
          <w:rFonts w:ascii="Arial" w:hAnsi="Arial" w:cs="Arial"/>
          <w:b/>
          <w:sz w:val="20"/>
          <w:szCs w:val="20"/>
        </w:rPr>
        <w:t>, 2016</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567E53" w:rsidP="005A49E1">
            <w:pPr>
              <w:rPr>
                <w:rFonts w:ascii="Arial" w:hAnsi="Arial" w:cs="Arial"/>
                <w:sz w:val="20"/>
                <w:szCs w:val="20"/>
              </w:rPr>
            </w:pPr>
            <w:r>
              <w:rPr>
                <w:rFonts w:ascii="Arial" w:hAnsi="Arial" w:cs="Arial"/>
                <w:sz w:val="20"/>
                <w:szCs w:val="20"/>
              </w:rPr>
              <w:t>1195</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567E53" w:rsidP="006753C2">
            <w:pPr>
              <w:rPr>
                <w:rFonts w:ascii="Arial" w:hAnsi="Arial" w:cs="Arial"/>
                <w:sz w:val="20"/>
                <w:szCs w:val="20"/>
              </w:rPr>
            </w:pPr>
            <w:r>
              <w:rPr>
                <w:rFonts w:ascii="Arial" w:hAnsi="Arial" w:cs="Arial"/>
                <w:sz w:val="20"/>
                <w:szCs w:val="20"/>
              </w:rPr>
              <w:t>570</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CD07B4" w:rsidP="001A5E69">
            <w:pPr>
              <w:rPr>
                <w:rFonts w:ascii="Arial" w:hAnsi="Arial" w:cs="Arial"/>
                <w:sz w:val="20"/>
                <w:szCs w:val="20"/>
              </w:rPr>
            </w:pPr>
            <w:r>
              <w:rPr>
                <w:rFonts w:ascii="Arial" w:hAnsi="Arial" w:cs="Arial"/>
                <w:sz w:val="20"/>
                <w:szCs w:val="20"/>
              </w:rPr>
              <w:t>23</w:t>
            </w:r>
            <w:r w:rsidR="00567E53">
              <w:rPr>
                <w:rFonts w:ascii="Arial" w:hAnsi="Arial" w:cs="Arial"/>
                <w:sz w:val="20"/>
                <w:szCs w:val="20"/>
              </w:rPr>
              <w:t>4</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567E53" w:rsidP="00F60D62">
            <w:pPr>
              <w:rPr>
                <w:rFonts w:ascii="Arial" w:hAnsi="Arial" w:cs="Arial"/>
                <w:sz w:val="20"/>
                <w:szCs w:val="20"/>
              </w:rPr>
            </w:pPr>
            <w:r>
              <w:rPr>
                <w:rFonts w:ascii="Arial" w:hAnsi="Arial" w:cs="Arial"/>
                <w:sz w:val="20"/>
                <w:szCs w:val="20"/>
              </w:rPr>
              <w:t>524</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567E53" w:rsidP="00D86338">
            <w:pPr>
              <w:rPr>
                <w:rFonts w:ascii="Arial" w:hAnsi="Arial" w:cs="Arial"/>
                <w:sz w:val="20"/>
                <w:szCs w:val="20"/>
              </w:rPr>
            </w:pPr>
            <w:r>
              <w:rPr>
                <w:rFonts w:ascii="Arial" w:hAnsi="Arial" w:cs="Arial"/>
                <w:sz w:val="20"/>
                <w:szCs w:val="20"/>
              </w:rPr>
              <w:t>12,323</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567E53" w:rsidP="00E71FAE">
            <w:pPr>
              <w:rPr>
                <w:rFonts w:ascii="Arial" w:hAnsi="Arial" w:cs="Arial"/>
                <w:sz w:val="20"/>
                <w:szCs w:val="20"/>
              </w:rPr>
            </w:pPr>
            <w:r>
              <w:rPr>
                <w:rFonts w:ascii="Arial" w:hAnsi="Arial" w:cs="Arial"/>
                <w:sz w:val="20"/>
                <w:szCs w:val="20"/>
              </w:rPr>
              <w:t>430</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567E53" w:rsidP="009506F1">
            <w:pPr>
              <w:rPr>
                <w:rFonts w:ascii="Arial" w:hAnsi="Arial" w:cs="Arial"/>
                <w:sz w:val="20"/>
                <w:szCs w:val="20"/>
              </w:rPr>
            </w:pPr>
            <w:r>
              <w:rPr>
                <w:rFonts w:ascii="Arial" w:hAnsi="Arial" w:cs="Arial"/>
                <w:sz w:val="20"/>
                <w:szCs w:val="20"/>
              </w:rPr>
              <w:t>1 (0.01%)</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1E4D1C" w:rsidP="008675C1">
            <w:pPr>
              <w:pStyle w:val="NormalWeb"/>
              <w:rPr>
                <w:rFonts w:ascii="Arial" w:hAnsi="Arial" w:cs="Arial"/>
                <w:sz w:val="20"/>
                <w:szCs w:val="20"/>
              </w:rPr>
            </w:pPr>
            <w:r>
              <w:rPr>
                <w:rFonts w:ascii="Arial" w:hAnsi="Arial" w:cs="Arial"/>
                <w:sz w:val="20"/>
                <w:szCs w:val="20"/>
              </w:rPr>
              <w:t>There was a P</w:t>
            </w:r>
            <w:r w:rsidR="00567E53">
              <w:rPr>
                <w:rFonts w:ascii="Arial" w:hAnsi="Arial" w:cs="Arial"/>
                <w:sz w:val="20"/>
                <w:szCs w:val="20"/>
              </w:rPr>
              <w:t>AS issue causing a tracking number not to appear in the PA’s list of work items.  This issue has now been fixed.</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567E53" w:rsidP="00225869">
            <w:pPr>
              <w:rPr>
                <w:rFonts w:ascii="Arial" w:hAnsi="Arial" w:cs="Arial"/>
                <w:sz w:val="20"/>
                <w:szCs w:val="20"/>
              </w:rPr>
            </w:pPr>
            <w:r>
              <w:rPr>
                <w:rFonts w:ascii="Arial" w:hAnsi="Arial" w:cs="Arial"/>
                <w:sz w:val="20"/>
                <w:szCs w:val="20"/>
              </w:rPr>
              <w:t>126/302</w:t>
            </w:r>
          </w:p>
        </w:tc>
      </w:tr>
    </w:tbl>
    <w:p w:rsidR="004C256C" w:rsidRDefault="004C256C" w:rsidP="00BE00B0">
      <w:pPr>
        <w:rPr>
          <w:rFonts w:ascii="Arial" w:hAnsi="Arial" w:cs="Arial"/>
          <w:b/>
          <w:sz w:val="20"/>
          <w:szCs w:val="20"/>
        </w:rPr>
      </w:pPr>
    </w:p>
    <w:bookmarkStart w:id="3" w:name="_MON_1519550793"/>
    <w:bookmarkEnd w:id="3"/>
    <w:p w:rsidR="001E4D1C" w:rsidRDefault="001E4D1C" w:rsidP="00BE00B0">
      <w:pPr>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520317018" r:id="rId9">
            <o:FieldCodes>\s</o:FieldCodes>
          </o:OLEObject>
        </w:object>
      </w:r>
    </w:p>
    <w:p w:rsidR="00D22809" w:rsidRPr="006C17F0" w:rsidRDefault="00812810" w:rsidP="0073728A">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1E4D1C" w:rsidRPr="006C17F0" w:rsidTr="00CD07B4">
        <w:trPr>
          <w:trHeight w:val="70"/>
        </w:trPr>
        <w:tc>
          <w:tcPr>
            <w:tcW w:w="4404" w:type="dxa"/>
          </w:tcPr>
          <w:p w:rsidR="001E4D1C" w:rsidRPr="006C17F0" w:rsidRDefault="001E4D1C" w:rsidP="001E4D1C">
            <w:pPr>
              <w:rPr>
                <w:rFonts w:ascii="Arial" w:hAnsi="Arial" w:cs="Arial"/>
                <w:sz w:val="20"/>
                <w:szCs w:val="20"/>
              </w:rPr>
            </w:pPr>
            <w:r>
              <w:rPr>
                <w:rFonts w:ascii="Arial" w:hAnsi="Arial" w:cs="Arial"/>
                <w:sz w:val="20"/>
                <w:szCs w:val="20"/>
              </w:rPr>
              <w:t>March 2015</w:t>
            </w:r>
          </w:p>
        </w:tc>
        <w:tc>
          <w:tcPr>
            <w:tcW w:w="4226" w:type="dxa"/>
          </w:tcPr>
          <w:p w:rsidR="001E4D1C" w:rsidRDefault="001E4D1C" w:rsidP="001E4D1C">
            <w:pPr>
              <w:rPr>
                <w:rFonts w:ascii="Arial" w:hAnsi="Arial" w:cs="Arial"/>
                <w:sz w:val="20"/>
                <w:szCs w:val="20"/>
              </w:rPr>
            </w:pPr>
            <w:r>
              <w:rPr>
                <w:rFonts w:ascii="Arial" w:hAnsi="Arial" w:cs="Arial"/>
                <w:sz w:val="20"/>
                <w:szCs w:val="20"/>
              </w:rPr>
              <w:t>10,763</w:t>
            </w:r>
          </w:p>
        </w:tc>
      </w:tr>
      <w:tr w:rsidR="001E4D1C" w:rsidRPr="006C17F0" w:rsidTr="007217C7">
        <w:tc>
          <w:tcPr>
            <w:tcW w:w="4404" w:type="dxa"/>
          </w:tcPr>
          <w:p w:rsidR="001E4D1C" w:rsidRPr="006C17F0" w:rsidRDefault="001E4D1C" w:rsidP="001E4D1C">
            <w:pPr>
              <w:rPr>
                <w:rFonts w:ascii="Arial" w:hAnsi="Arial" w:cs="Arial"/>
                <w:sz w:val="20"/>
                <w:szCs w:val="20"/>
              </w:rPr>
            </w:pPr>
            <w:r>
              <w:rPr>
                <w:rFonts w:ascii="Arial" w:hAnsi="Arial" w:cs="Arial"/>
                <w:sz w:val="20"/>
                <w:szCs w:val="20"/>
              </w:rPr>
              <w:t>April 2015</w:t>
            </w:r>
          </w:p>
        </w:tc>
        <w:tc>
          <w:tcPr>
            <w:tcW w:w="4226" w:type="dxa"/>
          </w:tcPr>
          <w:p w:rsidR="001E4D1C" w:rsidRDefault="001E4D1C" w:rsidP="001E4D1C">
            <w:pPr>
              <w:rPr>
                <w:rFonts w:ascii="Arial" w:hAnsi="Arial" w:cs="Arial"/>
                <w:sz w:val="20"/>
                <w:szCs w:val="20"/>
              </w:rPr>
            </w:pPr>
            <w:r>
              <w:rPr>
                <w:rFonts w:ascii="Arial" w:hAnsi="Arial" w:cs="Arial"/>
                <w:sz w:val="20"/>
                <w:szCs w:val="20"/>
              </w:rPr>
              <w:t>13,295</w:t>
            </w:r>
          </w:p>
        </w:tc>
      </w:tr>
      <w:tr w:rsidR="001E4D1C" w:rsidRPr="006C17F0" w:rsidTr="007217C7">
        <w:tc>
          <w:tcPr>
            <w:tcW w:w="4404" w:type="dxa"/>
          </w:tcPr>
          <w:p w:rsidR="001E4D1C" w:rsidRPr="006C17F0" w:rsidRDefault="001E4D1C" w:rsidP="001E4D1C">
            <w:pPr>
              <w:rPr>
                <w:rFonts w:ascii="Arial" w:hAnsi="Arial" w:cs="Arial"/>
                <w:sz w:val="20"/>
                <w:szCs w:val="20"/>
              </w:rPr>
            </w:pPr>
            <w:r>
              <w:rPr>
                <w:rFonts w:ascii="Arial" w:hAnsi="Arial" w:cs="Arial"/>
                <w:sz w:val="20"/>
                <w:szCs w:val="20"/>
              </w:rPr>
              <w:t>May 2015</w:t>
            </w:r>
          </w:p>
        </w:tc>
        <w:tc>
          <w:tcPr>
            <w:tcW w:w="4226" w:type="dxa"/>
          </w:tcPr>
          <w:p w:rsidR="001E4D1C" w:rsidRDefault="001E4D1C" w:rsidP="001E4D1C">
            <w:pPr>
              <w:rPr>
                <w:rFonts w:ascii="Arial" w:hAnsi="Arial" w:cs="Arial"/>
                <w:sz w:val="20"/>
                <w:szCs w:val="20"/>
              </w:rPr>
            </w:pPr>
            <w:r>
              <w:rPr>
                <w:rFonts w:ascii="Arial" w:hAnsi="Arial" w:cs="Arial"/>
                <w:sz w:val="20"/>
                <w:szCs w:val="20"/>
              </w:rPr>
              <w:t>17,565</w:t>
            </w:r>
          </w:p>
        </w:tc>
      </w:tr>
      <w:tr w:rsidR="001E4D1C" w:rsidRPr="006C17F0" w:rsidTr="007217C7">
        <w:tc>
          <w:tcPr>
            <w:tcW w:w="4404" w:type="dxa"/>
          </w:tcPr>
          <w:p w:rsidR="001E4D1C" w:rsidRPr="006C17F0" w:rsidRDefault="001E4D1C" w:rsidP="001E4D1C">
            <w:pPr>
              <w:rPr>
                <w:rFonts w:ascii="Arial" w:hAnsi="Arial" w:cs="Arial"/>
                <w:sz w:val="20"/>
                <w:szCs w:val="20"/>
              </w:rPr>
            </w:pPr>
            <w:r>
              <w:rPr>
                <w:rFonts w:ascii="Arial" w:hAnsi="Arial" w:cs="Arial"/>
                <w:sz w:val="20"/>
                <w:szCs w:val="20"/>
              </w:rPr>
              <w:t>June 2015</w:t>
            </w:r>
          </w:p>
        </w:tc>
        <w:tc>
          <w:tcPr>
            <w:tcW w:w="4226" w:type="dxa"/>
          </w:tcPr>
          <w:p w:rsidR="001E4D1C" w:rsidRDefault="001E4D1C" w:rsidP="001E4D1C">
            <w:pPr>
              <w:rPr>
                <w:rFonts w:ascii="Arial" w:hAnsi="Arial" w:cs="Arial"/>
                <w:sz w:val="20"/>
                <w:szCs w:val="20"/>
              </w:rPr>
            </w:pPr>
            <w:r>
              <w:rPr>
                <w:rFonts w:ascii="Arial" w:hAnsi="Arial" w:cs="Arial"/>
                <w:sz w:val="20"/>
                <w:szCs w:val="20"/>
              </w:rPr>
              <w:t>24,285</w:t>
            </w:r>
          </w:p>
        </w:tc>
      </w:tr>
      <w:tr w:rsidR="001E4D1C" w:rsidRPr="006C17F0" w:rsidTr="007217C7">
        <w:trPr>
          <w:trHeight w:val="47"/>
        </w:trPr>
        <w:tc>
          <w:tcPr>
            <w:tcW w:w="4404" w:type="dxa"/>
          </w:tcPr>
          <w:p w:rsidR="001E4D1C" w:rsidRPr="006C17F0" w:rsidRDefault="001E4D1C" w:rsidP="001E4D1C">
            <w:pPr>
              <w:rPr>
                <w:rFonts w:ascii="Arial" w:hAnsi="Arial" w:cs="Arial"/>
                <w:sz w:val="20"/>
                <w:szCs w:val="20"/>
              </w:rPr>
            </w:pPr>
            <w:r>
              <w:rPr>
                <w:rFonts w:ascii="Arial" w:hAnsi="Arial" w:cs="Arial"/>
                <w:sz w:val="20"/>
                <w:szCs w:val="20"/>
              </w:rPr>
              <w:t>July 2015</w:t>
            </w:r>
          </w:p>
        </w:tc>
        <w:tc>
          <w:tcPr>
            <w:tcW w:w="4226" w:type="dxa"/>
          </w:tcPr>
          <w:p w:rsidR="001E4D1C" w:rsidRDefault="001E4D1C" w:rsidP="001E4D1C">
            <w:pPr>
              <w:rPr>
                <w:rFonts w:ascii="Arial" w:hAnsi="Arial" w:cs="Arial"/>
                <w:sz w:val="20"/>
                <w:szCs w:val="20"/>
              </w:rPr>
            </w:pPr>
            <w:r>
              <w:rPr>
                <w:rFonts w:ascii="Arial" w:hAnsi="Arial" w:cs="Arial"/>
                <w:sz w:val="20"/>
                <w:szCs w:val="20"/>
              </w:rPr>
              <w:t>13,310</w:t>
            </w:r>
          </w:p>
        </w:tc>
      </w:tr>
      <w:tr w:rsidR="001E4D1C" w:rsidRPr="006C17F0" w:rsidTr="007217C7">
        <w:trPr>
          <w:trHeight w:val="143"/>
        </w:trPr>
        <w:tc>
          <w:tcPr>
            <w:tcW w:w="4404" w:type="dxa"/>
          </w:tcPr>
          <w:p w:rsidR="001E4D1C" w:rsidRPr="006C17F0" w:rsidRDefault="001E4D1C" w:rsidP="001E4D1C">
            <w:pPr>
              <w:rPr>
                <w:rFonts w:ascii="Arial" w:hAnsi="Arial" w:cs="Arial"/>
                <w:sz w:val="20"/>
                <w:szCs w:val="20"/>
              </w:rPr>
            </w:pPr>
            <w:r>
              <w:rPr>
                <w:rFonts w:ascii="Arial" w:hAnsi="Arial" w:cs="Arial"/>
                <w:sz w:val="20"/>
                <w:szCs w:val="20"/>
              </w:rPr>
              <w:t>August 2015</w:t>
            </w:r>
          </w:p>
        </w:tc>
        <w:tc>
          <w:tcPr>
            <w:tcW w:w="4226" w:type="dxa"/>
          </w:tcPr>
          <w:p w:rsidR="001E4D1C" w:rsidRDefault="001E4D1C" w:rsidP="001E4D1C">
            <w:pPr>
              <w:rPr>
                <w:rFonts w:ascii="Arial" w:hAnsi="Arial" w:cs="Arial"/>
                <w:sz w:val="20"/>
                <w:szCs w:val="20"/>
              </w:rPr>
            </w:pPr>
            <w:r>
              <w:rPr>
                <w:rFonts w:ascii="Arial" w:hAnsi="Arial" w:cs="Arial"/>
                <w:sz w:val="20"/>
                <w:szCs w:val="20"/>
              </w:rPr>
              <w:t>8,068</w:t>
            </w:r>
          </w:p>
        </w:tc>
      </w:tr>
      <w:tr w:rsidR="001E4D1C" w:rsidRPr="006C17F0" w:rsidTr="007217C7">
        <w:trPr>
          <w:trHeight w:val="143"/>
        </w:trPr>
        <w:tc>
          <w:tcPr>
            <w:tcW w:w="4404" w:type="dxa"/>
          </w:tcPr>
          <w:p w:rsidR="001E4D1C" w:rsidRPr="006C17F0" w:rsidRDefault="001E4D1C" w:rsidP="001E4D1C">
            <w:pPr>
              <w:rPr>
                <w:rFonts w:ascii="Arial" w:hAnsi="Arial" w:cs="Arial"/>
                <w:sz w:val="20"/>
                <w:szCs w:val="20"/>
              </w:rPr>
            </w:pPr>
            <w:r>
              <w:rPr>
                <w:rFonts w:ascii="Arial" w:hAnsi="Arial" w:cs="Arial"/>
                <w:sz w:val="20"/>
                <w:szCs w:val="20"/>
              </w:rPr>
              <w:t>September 2015</w:t>
            </w:r>
          </w:p>
        </w:tc>
        <w:tc>
          <w:tcPr>
            <w:tcW w:w="4226" w:type="dxa"/>
          </w:tcPr>
          <w:p w:rsidR="001E4D1C" w:rsidRDefault="001E4D1C" w:rsidP="001E4D1C">
            <w:pPr>
              <w:rPr>
                <w:rFonts w:ascii="Arial" w:hAnsi="Arial" w:cs="Arial"/>
                <w:sz w:val="20"/>
                <w:szCs w:val="20"/>
              </w:rPr>
            </w:pPr>
            <w:r>
              <w:rPr>
                <w:rFonts w:ascii="Arial" w:hAnsi="Arial" w:cs="Arial"/>
                <w:sz w:val="20"/>
                <w:szCs w:val="20"/>
              </w:rPr>
              <w:t>9,977</w:t>
            </w:r>
          </w:p>
        </w:tc>
      </w:tr>
      <w:tr w:rsidR="001E4D1C" w:rsidRPr="006C17F0" w:rsidTr="007217C7">
        <w:trPr>
          <w:trHeight w:val="143"/>
        </w:trPr>
        <w:tc>
          <w:tcPr>
            <w:tcW w:w="4404" w:type="dxa"/>
          </w:tcPr>
          <w:p w:rsidR="001E4D1C" w:rsidRPr="006C17F0" w:rsidRDefault="001E4D1C" w:rsidP="001E4D1C">
            <w:pPr>
              <w:rPr>
                <w:rFonts w:ascii="Arial" w:hAnsi="Arial" w:cs="Arial"/>
                <w:sz w:val="20"/>
                <w:szCs w:val="20"/>
              </w:rPr>
            </w:pPr>
            <w:r>
              <w:rPr>
                <w:rFonts w:ascii="Arial" w:hAnsi="Arial" w:cs="Arial"/>
                <w:sz w:val="20"/>
                <w:szCs w:val="20"/>
              </w:rPr>
              <w:t>October 2015</w:t>
            </w:r>
          </w:p>
        </w:tc>
        <w:tc>
          <w:tcPr>
            <w:tcW w:w="4226" w:type="dxa"/>
          </w:tcPr>
          <w:p w:rsidR="001E4D1C" w:rsidRDefault="001E4D1C" w:rsidP="001E4D1C">
            <w:pPr>
              <w:rPr>
                <w:rFonts w:ascii="Arial" w:hAnsi="Arial" w:cs="Arial"/>
                <w:sz w:val="20"/>
                <w:szCs w:val="20"/>
              </w:rPr>
            </w:pPr>
            <w:r>
              <w:rPr>
                <w:rFonts w:ascii="Arial" w:hAnsi="Arial" w:cs="Arial"/>
                <w:sz w:val="20"/>
                <w:szCs w:val="20"/>
              </w:rPr>
              <w:t>8,524</w:t>
            </w:r>
          </w:p>
        </w:tc>
      </w:tr>
      <w:tr w:rsidR="001E4D1C" w:rsidRPr="006C17F0" w:rsidTr="007217C7">
        <w:trPr>
          <w:trHeight w:val="143"/>
        </w:trPr>
        <w:tc>
          <w:tcPr>
            <w:tcW w:w="4404" w:type="dxa"/>
          </w:tcPr>
          <w:p w:rsidR="001E4D1C" w:rsidRPr="006C17F0" w:rsidRDefault="001E4D1C" w:rsidP="001E4D1C">
            <w:pPr>
              <w:rPr>
                <w:rFonts w:ascii="Arial" w:hAnsi="Arial" w:cs="Arial"/>
                <w:sz w:val="20"/>
                <w:szCs w:val="20"/>
              </w:rPr>
            </w:pPr>
            <w:r>
              <w:rPr>
                <w:rFonts w:ascii="Arial" w:hAnsi="Arial" w:cs="Arial"/>
                <w:sz w:val="20"/>
                <w:szCs w:val="20"/>
              </w:rPr>
              <w:t>November 2015</w:t>
            </w:r>
          </w:p>
        </w:tc>
        <w:tc>
          <w:tcPr>
            <w:tcW w:w="4226" w:type="dxa"/>
          </w:tcPr>
          <w:p w:rsidR="001E4D1C" w:rsidRDefault="001E4D1C" w:rsidP="001E4D1C">
            <w:pPr>
              <w:rPr>
                <w:rFonts w:ascii="Arial" w:hAnsi="Arial" w:cs="Arial"/>
                <w:sz w:val="20"/>
                <w:szCs w:val="20"/>
              </w:rPr>
            </w:pPr>
            <w:r>
              <w:rPr>
                <w:rFonts w:ascii="Arial" w:hAnsi="Arial" w:cs="Arial"/>
                <w:sz w:val="20"/>
                <w:szCs w:val="20"/>
              </w:rPr>
              <w:t>7,604</w:t>
            </w:r>
          </w:p>
        </w:tc>
      </w:tr>
      <w:tr w:rsidR="001E4D1C" w:rsidRPr="006C17F0" w:rsidTr="007217C7">
        <w:trPr>
          <w:trHeight w:val="143"/>
        </w:trPr>
        <w:tc>
          <w:tcPr>
            <w:tcW w:w="4404" w:type="dxa"/>
          </w:tcPr>
          <w:p w:rsidR="001E4D1C" w:rsidRPr="006C17F0" w:rsidRDefault="001E4D1C" w:rsidP="001E4D1C">
            <w:pPr>
              <w:rPr>
                <w:rFonts w:ascii="Arial" w:hAnsi="Arial" w:cs="Arial"/>
                <w:sz w:val="20"/>
                <w:szCs w:val="20"/>
              </w:rPr>
            </w:pPr>
            <w:r>
              <w:rPr>
                <w:rFonts w:ascii="Arial" w:hAnsi="Arial" w:cs="Arial"/>
                <w:sz w:val="20"/>
                <w:szCs w:val="20"/>
              </w:rPr>
              <w:t>December 2015</w:t>
            </w:r>
          </w:p>
        </w:tc>
        <w:tc>
          <w:tcPr>
            <w:tcW w:w="4226" w:type="dxa"/>
          </w:tcPr>
          <w:p w:rsidR="001E4D1C" w:rsidRDefault="001E4D1C" w:rsidP="001E4D1C">
            <w:pPr>
              <w:rPr>
                <w:rFonts w:ascii="Arial" w:hAnsi="Arial" w:cs="Arial"/>
                <w:sz w:val="20"/>
                <w:szCs w:val="20"/>
              </w:rPr>
            </w:pPr>
            <w:r>
              <w:rPr>
                <w:rFonts w:ascii="Arial" w:hAnsi="Arial" w:cs="Arial"/>
                <w:sz w:val="20"/>
                <w:szCs w:val="20"/>
              </w:rPr>
              <w:t>9,291</w:t>
            </w:r>
          </w:p>
        </w:tc>
      </w:tr>
      <w:tr w:rsidR="001E4D1C" w:rsidRPr="006C17F0" w:rsidTr="007217C7">
        <w:tc>
          <w:tcPr>
            <w:tcW w:w="4404" w:type="dxa"/>
          </w:tcPr>
          <w:p w:rsidR="001E4D1C" w:rsidRPr="006C17F0" w:rsidRDefault="001E4D1C" w:rsidP="001E4D1C">
            <w:pPr>
              <w:rPr>
                <w:rFonts w:ascii="Arial" w:hAnsi="Arial" w:cs="Arial"/>
                <w:sz w:val="20"/>
                <w:szCs w:val="20"/>
              </w:rPr>
            </w:pPr>
            <w:r>
              <w:rPr>
                <w:rFonts w:ascii="Arial" w:hAnsi="Arial" w:cs="Arial"/>
                <w:sz w:val="20"/>
                <w:szCs w:val="20"/>
              </w:rPr>
              <w:t>January 2016</w:t>
            </w:r>
          </w:p>
        </w:tc>
        <w:tc>
          <w:tcPr>
            <w:tcW w:w="4226" w:type="dxa"/>
          </w:tcPr>
          <w:p w:rsidR="001E4D1C" w:rsidRDefault="001E4D1C" w:rsidP="001E4D1C">
            <w:pPr>
              <w:rPr>
                <w:rFonts w:ascii="Arial" w:hAnsi="Arial" w:cs="Arial"/>
                <w:sz w:val="20"/>
                <w:szCs w:val="20"/>
              </w:rPr>
            </w:pPr>
            <w:r>
              <w:rPr>
                <w:rFonts w:ascii="Arial" w:hAnsi="Arial" w:cs="Arial"/>
                <w:sz w:val="20"/>
                <w:szCs w:val="20"/>
              </w:rPr>
              <w:t>6,922</w:t>
            </w:r>
          </w:p>
        </w:tc>
      </w:tr>
      <w:tr w:rsidR="008021F1" w:rsidRPr="006C17F0" w:rsidTr="007217C7">
        <w:tc>
          <w:tcPr>
            <w:tcW w:w="4404" w:type="dxa"/>
          </w:tcPr>
          <w:p w:rsidR="008021F1" w:rsidRPr="006C17F0" w:rsidRDefault="001E4D1C" w:rsidP="008021F1">
            <w:pPr>
              <w:rPr>
                <w:rFonts w:ascii="Arial" w:hAnsi="Arial" w:cs="Arial"/>
                <w:sz w:val="20"/>
                <w:szCs w:val="20"/>
              </w:rPr>
            </w:pPr>
            <w:r>
              <w:rPr>
                <w:rFonts w:ascii="Arial" w:hAnsi="Arial" w:cs="Arial"/>
                <w:sz w:val="20"/>
                <w:szCs w:val="20"/>
              </w:rPr>
              <w:t>February 2016</w:t>
            </w:r>
          </w:p>
        </w:tc>
        <w:tc>
          <w:tcPr>
            <w:tcW w:w="4226" w:type="dxa"/>
          </w:tcPr>
          <w:p w:rsidR="008021F1" w:rsidRDefault="001E4D1C" w:rsidP="008021F1">
            <w:pPr>
              <w:rPr>
                <w:rFonts w:ascii="Arial" w:hAnsi="Arial" w:cs="Arial"/>
                <w:sz w:val="20"/>
                <w:szCs w:val="20"/>
              </w:rPr>
            </w:pPr>
            <w:r>
              <w:rPr>
                <w:rFonts w:ascii="Arial" w:hAnsi="Arial" w:cs="Arial"/>
                <w:sz w:val="20"/>
                <w:szCs w:val="20"/>
              </w:rPr>
              <w:t>12,323</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1E4D1C" w:rsidRPr="004C256C" w:rsidRDefault="001E4D1C" w:rsidP="001E4D1C">
      <w:pPr>
        <w:pStyle w:val="ListParagraph"/>
        <w:numPr>
          <w:ilvl w:val="0"/>
          <w:numId w:val="5"/>
        </w:numPr>
        <w:ind w:left="360"/>
        <w:rPr>
          <w:rFonts w:ascii="Arial" w:hAnsi="Arial" w:cs="Arial"/>
          <w:sz w:val="20"/>
          <w:szCs w:val="20"/>
        </w:rPr>
      </w:pPr>
      <w:bookmarkStart w:id="6" w:name="OLE_LINK5"/>
      <w:bookmarkStart w:id="7" w:name="OLE_LINK6"/>
      <w:r w:rsidRPr="004C256C">
        <w:rPr>
          <w:rFonts w:ascii="Arial" w:hAnsi="Arial" w:cs="Arial"/>
          <w:sz w:val="20"/>
          <w:szCs w:val="20"/>
        </w:rPr>
        <w:t>None Reported</w:t>
      </w:r>
    </w:p>
    <w:p w:rsidR="00AE21CB" w:rsidRPr="001E4D1C" w:rsidRDefault="00AE21CB" w:rsidP="001E4D1C">
      <w:pPr>
        <w:rPr>
          <w:rFonts w:ascii="Arial" w:hAnsi="Arial" w:cs="Arial"/>
          <w:sz w:val="20"/>
          <w:szCs w:val="20"/>
        </w:rPr>
      </w:pP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1D35D8" w:rsidRDefault="00EB5D28" w:rsidP="00AE21CB">
      <w:pPr>
        <w:pStyle w:val="ListParagraph"/>
        <w:numPr>
          <w:ilvl w:val="0"/>
          <w:numId w:val="5"/>
        </w:numPr>
        <w:ind w:left="360"/>
        <w:rPr>
          <w:rFonts w:ascii="Arial" w:hAnsi="Arial" w:cs="Arial"/>
          <w:sz w:val="20"/>
          <w:szCs w:val="20"/>
          <w:lang w:eastAsia="x-none"/>
        </w:rPr>
      </w:pPr>
      <w:r w:rsidRPr="00EB5D28">
        <w:rPr>
          <w:rFonts w:ascii="Arial" w:hAnsi="Arial" w:cs="Arial"/>
          <w:sz w:val="20"/>
          <w:szCs w:val="20"/>
          <w:lang w:eastAsia="x-none"/>
        </w:rPr>
        <w:t xml:space="preserve">The following </w:t>
      </w:r>
      <w:r w:rsidR="0089202D">
        <w:rPr>
          <w:rFonts w:ascii="Arial" w:hAnsi="Arial" w:cs="Arial"/>
          <w:sz w:val="20"/>
          <w:szCs w:val="20"/>
          <w:lang w:eastAsia="x-none"/>
        </w:rPr>
        <w:t xml:space="preserve">issues went to </w:t>
      </w:r>
      <w:r w:rsidR="001E4D1C">
        <w:rPr>
          <w:rFonts w:ascii="Arial" w:hAnsi="Arial" w:cs="Arial"/>
          <w:sz w:val="20"/>
          <w:szCs w:val="20"/>
          <w:lang w:eastAsia="x-none"/>
        </w:rPr>
        <w:t>Final</w:t>
      </w:r>
      <w:r w:rsidR="00AE21CB">
        <w:rPr>
          <w:rFonts w:ascii="Arial" w:hAnsi="Arial" w:cs="Arial"/>
          <w:sz w:val="20"/>
          <w:szCs w:val="20"/>
          <w:lang w:eastAsia="x-none"/>
        </w:rPr>
        <w:t xml:space="preserve"> Closure </w:t>
      </w:r>
      <w:r w:rsidR="001E4D1C">
        <w:rPr>
          <w:rFonts w:ascii="Arial" w:hAnsi="Arial" w:cs="Arial"/>
          <w:sz w:val="20"/>
          <w:szCs w:val="20"/>
          <w:lang w:eastAsia="x-none"/>
        </w:rPr>
        <w:t>on 2/26/16</w:t>
      </w:r>
      <w:r w:rsidR="00AE21CB">
        <w:rPr>
          <w:rFonts w:ascii="Arial" w:hAnsi="Arial" w:cs="Arial"/>
          <w:sz w:val="20"/>
          <w:szCs w:val="20"/>
          <w:lang w:eastAsia="x-none"/>
        </w:rPr>
        <w:t>:</w:t>
      </w:r>
    </w:p>
    <w:p w:rsidR="00AE21CB" w:rsidRPr="00AE21CB" w:rsidRDefault="00AE21CB" w:rsidP="00AE21CB">
      <w:pPr>
        <w:pStyle w:val="ListParagraph"/>
        <w:numPr>
          <w:ilvl w:val="0"/>
          <w:numId w:val="14"/>
        </w:numPr>
        <w:contextualSpacing w:val="0"/>
        <w:rPr>
          <w:rFonts w:ascii="Arial" w:hAnsi="Arial" w:cs="Arial"/>
          <w:sz w:val="20"/>
          <w:szCs w:val="20"/>
          <w:lang w:eastAsia="x-none"/>
        </w:rPr>
      </w:pPr>
      <w:r w:rsidRPr="00AE21CB">
        <w:rPr>
          <w:rFonts w:ascii="Arial" w:hAnsi="Arial" w:cs="Arial"/>
          <w:sz w:val="20"/>
          <w:szCs w:val="20"/>
          <w:lang w:eastAsia="x-none"/>
        </w:rPr>
        <w:t>Issue 806, Add State and Rate Center to letter supporting dedicated code requests</w:t>
      </w:r>
    </w:p>
    <w:p w:rsidR="00AE21CB" w:rsidRPr="00AE21CB" w:rsidRDefault="00AE21CB" w:rsidP="00977C4B">
      <w:pPr>
        <w:pStyle w:val="ListParagraph"/>
        <w:numPr>
          <w:ilvl w:val="1"/>
          <w:numId w:val="5"/>
        </w:numPr>
        <w:ind w:left="720"/>
        <w:contextualSpacing w:val="0"/>
        <w:rPr>
          <w:rFonts w:ascii="Arial" w:hAnsi="Arial" w:cs="Arial"/>
          <w:sz w:val="20"/>
          <w:szCs w:val="20"/>
          <w:lang w:eastAsia="x-none"/>
        </w:rPr>
      </w:pPr>
      <w:r w:rsidRPr="00AE21CB">
        <w:rPr>
          <w:rFonts w:ascii="Arial" w:hAnsi="Arial" w:cs="Arial"/>
          <w:sz w:val="20"/>
          <w:szCs w:val="20"/>
          <w:lang w:eastAsia="x-none"/>
        </w:rPr>
        <w:t>Issue 809, Update COCAG Appendix D, Reservation timeline</w:t>
      </w:r>
    </w:p>
    <w:p w:rsidR="00A23D4F" w:rsidRDefault="00A23D4F"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8" w:name="_Toc314561455"/>
      <w:bookmarkEnd w:id="6"/>
      <w:bookmarkEnd w:id="7"/>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1E4D1C" w:rsidP="00C82DB9">
            <w:pPr>
              <w:jc w:val="right"/>
              <w:rPr>
                <w:rFonts w:ascii="Arial" w:hAnsi="Arial" w:cs="Arial"/>
                <w:sz w:val="20"/>
                <w:szCs w:val="20"/>
              </w:rPr>
            </w:pPr>
            <w:r>
              <w:rPr>
                <w:rFonts w:ascii="Arial" w:hAnsi="Arial" w:cs="Arial"/>
                <w:sz w:val="20"/>
                <w:szCs w:val="20"/>
              </w:rPr>
              <w:t>340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C82DB9">
            <w:pPr>
              <w:jc w:val="right"/>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AE21CB" w:rsidP="001E4D1C">
            <w:pPr>
              <w:jc w:val="right"/>
              <w:rPr>
                <w:rFonts w:ascii="Arial" w:hAnsi="Arial" w:cs="Arial"/>
                <w:sz w:val="20"/>
                <w:szCs w:val="20"/>
              </w:rPr>
            </w:pPr>
            <w:r>
              <w:rPr>
                <w:rFonts w:ascii="Arial" w:hAnsi="Arial" w:cs="Arial"/>
                <w:sz w:val="20"/>
                <w:szCs w:val="20"/>
              </w:rPr>
              <w:t>2</w:t>
            </w:r>
            <w:r w:rsidR="001E4D1C">
              <w:rPr>
                <w:rFonts w:ascii="Arial" w:hAnsi="Arial" w:cs="Arial"/>
                <w:sz w:val="20"/>
                <w:szCs w:val="20"/>
              </w:rPr>
              <w:t>79</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1E4D1C" w:rsidP="00C82DB9">
            <w:pPr>
              <w:jc w:val="right"/>
              <w:rPr>
                <w:rFonts w:ascii="Arial" w:hAnsi="Arial" w:cs="Arial"/>
                <w:sz w:val="20"/>
                <w:szCs w:val="20"/>
              </w:rPr>
            </w:pPr>
            <w:r>
              <w:rPr>
                <w:rFonts w:ascii="Arial" w:hAnsi="Arial" w:cs="Arial"/>
                <w:sz w:val="20"/>
                <w:szCs w:val="20"/>
              </w:rPr>
              <w:t>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1E4D1C" w:rsidP="00C82DB9">
            <w:pPr>
              <w:jc w:val="right"/>
              <w:rPr>
                <w:rFonts w:ascii="Arial" w:hAnsi="Arial" w:cs="Arial"/>
                <w:sz w:val="20"/>
                <w:szCs w:val="20"/>
              </w:rPr>
            </w:pPr>
            <w:r>
              <w:rPr>
                <w:rFonts w:ascii="Arial" w:hAnsi="Arial" w:cs="Arial"/>
                <w:sz w:val="20"/>
                <w:szCs w:val="20"/>
              </w:rPr>
              <w:t>36</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1E4D1C" w:rsidP="00C82DB9">
            <w:pPr>
              <w:jc w:val="right"/>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1E4D1C" w:rsidP="00C82DB9">
            <w:pPr>
              <w:jc w:val="right"/>
              <w:rPr>
                <w:rFonts w:ascii="Arial" w:hAnsi="Arial" w:cs="Arial"/>
                <w:sz w:val="20"/>
                <w:szCs w:val="20"/>
              </w:rPr>
            </w:pPr>
            <w:r>
              <w:rPr>
                <w:rFonts w:ascii="Arial" w:hAnsi="Arial" w:cs="Arial"/>
                <w:sz w:val="20"/>
                <w:szCs w:val="20"/>
              </w:rPr>
              <w:t>3</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C82DB9">
            <w:pPr>
              <w:jc w:val="right"/>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1E4D1C" w:rsidP="00C82DB9">
            <w:pPr>
              <w:jc w:val="right"/>
              <w:rPr>
                <w:rFonts w:ascii="Arial" w:hAnsi="Arial" w:cs="Arial"/>
                <w:sz w:val="20"/>
                <w:szCs w:val="20"/>
              </w:rPr>
            </w:pPr>
            <w:r>
              <w:rPr>
                <w:rFonts w:ascii="Arial" w:hAnsi="Arial" w:cs="Arial"/>
                <w:sz w:val="20"/>
                <w:szCs w:val="20"/>
              </w:rPr>
              <w:t>20</w:t>
            </w:r>
          </w:p>
        </w:tc>
      </w:tr>
    </w:tbl>
    <w:p w:rsidR="00AE21CB" w:rsidRDefault="001E4D1C" w:rsidP="00AE21CB">
      <w:pPr>
        <w:pStyle w:val="NormalWeb"/>
        <w:numPr>
          <w:ilvl w:val="0"/>
          <w:numId w:val="15"/>
        </w:numPr>
        <w:shd w:val="clear" w:color="auto" w:fill="FFFFFF"/>
        <w:ind w:left="360"/>
        <w:rPr>
          <w:lang w:eastAsia="x-none"/>
        </w:rPr>
      </w:pPr>
      <w:r w:rsidRPr="001E4D1C">
        <w:rPr>
          <w:lang w:eastAsia="x-none"/>
        </w:rPr>
        <w:t xml:space="preserve">RNAS was </w:t>
      </w:r>
      <w:r>
        <w:rPr>
          <w:lang w:eastAsia="x-none"/>
        </w:rPr>
        <w:t xml:space="preserve">moved to AWS (Cloud) on February 22, 2016.  The FCC approved six hours of scheduled downtime but only 55 minutes was used.  Included in the maintenance was a web logic upgrade and update to the p-ANI website to “https”.  </w:t>
      </w:r>
    </w:p>
    <w:p w:rsidR="001E4D1C" w:rsidRPr="001E4D1C" w:rsidRDefault="001E4D1C" w:rsidP="001E4D1C">
      <w:pPr>
        <w:pStyle w:val="NormalWeb"/>
        <w:numPr>
          <w:ilvl w:val="1"/>
          <w:numId w:val="15"/>
        </w:numPr>
        <w:shd w:val="clear" w:color="auto" w:fill="FFFFFF"/>
        <w:rPr>
          <w:lang w:eastAsia="x-none"/>
        </w:rPr>
      </w:pPr>
      <w:r>
        <w:rPr>
          <w:lang w:eastAsia="x-none"/>
        </w:rPr>
        <w:t xml:space="preserve">The PA noted that PAS is scheduled to move </w:t>
      </w:r>
      <w:r w:rsidR="004154B6">
        <w:rPr>
          <w:lang w:eastAsia="x-none"/>
        </w:rPr>
        <w:t>to AWS (Cloud) in May.</w:t>
      </w:r>
    </w:p>
    <w:p w:rsidR="005263AB" w:rsidRPr="001E4D1C" w:rsidRDefault="005263AB" w:rsidP="005263AB">
      <w:pPr>
        <w:autoSpaceDE w:val="0"/>
        <w:autoSpaceDN w:val="0"/>
        <w:adjustRightInd w:val="0"/>
        <w:rPr>
          <w:lang w:eastAsia="x-none"/>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65777F" w:rsidRPr="0065777F" w:rsidRDefault="0065777F" w:rsidP="001E4D1C">
      <w:pPr>
        <w:pStyle w:val="ListParagraph"/>
        <w:numPr>
          <w:ilvl w:val="0"/>
          <w:numId w:val="16"/>
        </w:numPr>
        <w:ind w:left="360"/>
        <w:rPr>
          <w:lang w:eastAsia="x-none"/>
        </w:rPr>
      </w:pPr>
      <w:bookmarkStart w:id="11" w:name="_Toc314561457"/>
      <w:r w:rsidRPr="0065777F">
        <w:rPr>
          <w:lang w:eastAsia="x-none"/>
        </w:rPr>
        <w:t>Change Order #</w:t>
      </w:r>
      <w:r w:rsidR="001E4D1C">
        <w:rPr>
          <w:lang w:eastAsia="x-none"/>
        </w:rPr>
        <w:t>3 – Addressing the iconectiv proposals for connection to the PAS was submitted to the FCC on March 7, 2016.</w:t>
      </w:r>
    </w:p>
    <w:p w:rsidR="00850082" w:rsidRDefault="00850082" w:rsidP="00051954">
      <w:pPr>
        <w:pStyle w:val="ListParagraph"/>
        <w:ind w:left="360"/>
        <w:rPr>
          <w:lang w:eastAsia="x-none"/>
        </w:rPr>
      </w:pPr>
    </w:p>
    <w:p w:rsidR="004154B6" w:rsidRDefault="004154B6" w:rsidP="009E3A1B">
      <w:pPr>
        <w:pStyle w:val="Heading1"/>
        <w:spacing w:before="0" w:after="0"/>
        <w:rPr>
          <w:rFonts w:ascii="Arial" w:hAnsi="Arial" w:cs="Arial"/>
          <w:sz w:val="20"/>
          <w:szCs w:val="20"/>
          <w:u w:val="single"/>
        </w:rPr>
      </w:pPr>
    </w:p>
    <w:p w:rsidR="004154B6" w:rsidRDefault="004154B6" w:rsidP="009E3A1B">
      <w:pPr>
        <w:pStyle w:val="Heading1"/>
        <w:spacing w:before="0" w:after="0"/>
        <w:rPr>
          <w:rFonts w:ascii="Arial" w:hAnsi="Arial" w:cs="Arial"/>
          <w:sz w:val="20"/>
          <w:szCs w:val="20"/>
          <w:u w:val="singl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4365E4"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D244CD" w:rsidRPr="004365E4" w:rsidRDefault="00D244CD" w:rsidP="00384E6A">
      <w:pPr>
        <w:ind w:left="360"/>
        <w:rPr>
          <w:lang w:eastAsia="x-none"/>
        </w:rPr>
      </w:pPr>
    </w:p>
    <w:p w:rsidR="009E3A1B" w:rsidRPr="004365E4" w:rsidRDefault="004154B6" w:rsidP="00384E6A">
      <w:pPr>
        <w:ind w:left="360"/>
        <w:rPr>
          <w:lang w:eastAsia="x-none"/>
        </w:rPr>
      </w:pPr>
      <w:r>
        <w:rPr>
          <w:lang w:eastAsia="x-none"/>
        </w:rPr>
        <w:t xml:space="preserve">February </w:t>
      </w:r>
      <w:r w:rsidR="0065777F">
        <w:rPr>
          <w:lang w:eastAsia="x-none"/>
        </w:rPr>
        <w:t>2016</w:t>
      </w:r>
      <w:r w:rsidR="00201DFC" w:rsidRPr="004365E4">
        <w:rPr>
          <w:lang w:eastAsia="x-none"/>
        </w:rPr>
        <w:t xml:space="preserve"> </w:t>
      </w:r>
      <w:r w:rsidR="007D2F21" w:rsidRPr="004365E4">
        <w:rPr>
          <w:lang w:eastAsia="x-none"/>
        </w:rPr>
        <w:t xml:space="preserve">RC/NPA changes: </w:t>
      </w:r>
      <w:r w:rsidR="00EA20FA" w:rsidRPr="004365E4">
        <w:rPr>
          <w:lang w:eastAsia="x-none"/>
        </w:rPr>
        <w:t xml:space="preserve"> </w:t>
      </w:r>
      <w:r>
        <w:rPr>
          <w:lang w:eastAsia="x-none"/>
        </w:rPr>
        <w:t>2</w:t>
      </w:r>
      <w:r w:rsidR="00EA20FA" w:rsidRPr="004365E4">
        <w:rPr>
          <w:lang w:eastAsia="x-none"/>
        </w:rPr>
        <w:t xml:space="preserve"> </w:t>
      </w:r>
      <w:r w:rsidR="00D90C02" w:rsidRPr="004365E4">
        <w:rPr>
          <w:lang w:eastAsia="x-none"/>
        </w:rPr>
        <w:t>rate centers involved with</w:t>
      </w:r>
      <w:r w:rsidR="005263AB" w:rsidRPr="004365E4">
        <w:rPr>
          <w:lang w:eastAsia="x-none"/>
        </w:rPr>
        <w:t xml:space="preserve"> </w:t>
      </w:r>
      <w:r>
        <w:rPr>
          <w:lang w:eastAsia="x-none"/>
        </w:rPr>
        <w:t>2</w:t>
      </w:r>
      <w:r w:rsidR="0065777F">
        <w:rPr>
          <w:lang w:eastAsia="x-none"/>
        </w:rPr>
        <w:t xml:space="preserve"> </w:t>
      </w:r>
      <w:r w:rsidR="009F2659" w:rsidRPr="004365E4">
        <w:rPr>
          <w:lang w:eastAsia="x-none"/>
        </w:rPr>
        <w:t xml:space="preserve">NPAs and </w:t>
      </w:r>
      <w:r>
        <w:rPr>
          <w:lang w:eastAsia="x-none"/>
        </w:rPr>
        <w:t>2</w:t>
      </w:r>
      <w:r w:rsidR="00C82DB9">
        <w:rPr>
          <w:lang w:eastAsia="x-none"/>
        </w:rPr>
        <w:t xml:space="preserve"> </w:t>
      </w:r>
      <w:r w:rsidR="005263AB" w:rsidRPr="004365E4">
        <w:rPr>
          <w:lang w:eastAsia="x-none"/>
        </w:rPr>
        <w:t>s</w:t>
      </w:r>
      <w:r w:rsidR="00D90C02" w:rsidRPr="004365E4">
        <w:rPr>
          <w:lang w:eastAsia="x-none"/>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4154B6">
        <w:t>1</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65777F">
        <w:t>1</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4154B6">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4365E4" w:rsidRDefault="00ED3D74" w:rsidP="009A4855">
      <w:pPr>
        <w:pStyle w:val="ListParagraph"/>
        <w:numPr>
          <w:ilvl w:val="0"/>
          <w:numId w:val="2"/>
        </w:numPr>
        <w:autoSpaceDE w:val="0"/>
        <w:autoSpaceDN w:val="0"/>
        <w:adjustRightInd w:val="0"/>
        <w:jc w:val="both"/>
        <w:rPr>
          <w:lang w:eastAsia="x-none"/>
        </w:rPr>
      </w:pPr>
      <w:r w:rsidRPr="004365E4">
        <w:rPr>
          <w:lang w:eastAsia="x-none"/>
        </w:rPr>
        <w:t xml:space="preserve">Participated in the following </w:t>
      </w:r>
      <w:r w:rsidR="004154B6">
        <w:rPr>
          <w:lang w:eastAsia="x-none"/>
        </w:rPr>
        <w:t>relief planning</w:t>
      </w:r>
      <w:r w:rsidR="000755F1">
        <w:rPr>
          <w:lang w:eastAsia="x-none"/>
        </w:rPr>
        <w:t xml:space="preserve"> call </w:t>
      </w:r>
      <w:r w:rsidRPr="004365E4">
        <w:rPr>
          <w:lang w:eastAsia="x-none"/>
        </w:rPr>
        <w:t>meeting:</w:t>
      </w:r>
    </w:p>
    <w:p w:rsidR="00AA08F5" w:rsidRDefault="004154B6" w:rsidP="0065777F">
      <w:pPr>
        <w:pStyle w:val="ListParagraph"/>
        <w:numPr>
          <w:ilvl w:val="1"/>
          <w:numId w:val="2"/>
        </w:numPr>
        <w:autoSpaceDE w:val="0"/>
        <w:autoSpaceDN w:val="0"/>
        <w:adjustRightInd w:val="0"/>
        <w:ind w:left="720"/>
        <w:jc w:val="both"/>
        <w:rPr>
          <w:lang w:eastAsia="x-none"/>
        </w:rPr>
      </w:pPr>
      <w:r>
        <w:rPr>
          <w:lang w:eastAsia="x-none"/>
        </w:rPr>
        <w:t>NY 518 on February 26, 2016</w:t>
      </w:r>
    </w:p>
    <w:p w:rsidR="00ED3D74" w:rsidRPr="004365E4" w:rsidRDefault="00ED3D74" w:rsidP="00C214D7">
      <w:pPr>
        <w:autoSpaceDE w:val="0"/>
        <w:autoSpaceDN w:val="0"/>
        <w:adjustRightInd w:val="0"/>
        <w:jc w:val="both"/>
        <w:rPr>
          <w:lang w:eastAsia="x-none"/>
        </w:rPr>
      </w:pPr>
    </w:p>
    <w:p w:rsidR="009B2262" w:rsidRPr="004365E4" w:rsidRDefault="009B2262" w:rsidP="009B2262">
      <w:pPr>
        <w:autoSpaceDE w:val="0"/>
        <w:autoSpaceDN w:val="0"/>
        <w:adjustRightInd w:val="0"/>
        <w:jc w:val="both"/>
        <w:rPr>
          <w:lang w:eastAsia="x-none"/>
        </w:rPr>
      </w:pPr>
      <w:r w:rsidRPr="004365E4">
        <w:rPr>
          <w:lang w:eastAsia="x-none"/>
        </w:rPr>
        <w:t>Activities related to requests for pooling-related data:</w:t>
      </w:r>
    </w:p>
    <w:p w:rsidR="008E03F8" w:rsidRDefault="008E03F8" w:rsidP="008E03F8">
      <w:pPr>
        <w:pStyle w:val="ListParagraph"/>
        <w:numPr>
          <w:ilvl w:val="0"/>
          <w:numId w:val="2"/>
        </w:numPr>
        <w:autoSpaceDE w:val="0"/>
        <w:autoSpaceDN w:val="0"/>
        <w:adjustRightInd w:val="0"/>
        <w:jc w:val="both"/>
        <w:rPr>
          <w:lang w:eastAsia="x-none"/>
        </w:rPr>
      </w:pPr>
      <w:r>
        <w:rPr>
          <w:lang w:eastAsia="x-none"/>
        </w:rPr>
        <w:t>Provided NANPA updated pooling data for:</w:t>
      </w:r>
    </w:p>
    <w:p w:rsidR="0065777F" w:rsidRDefault="004154B6" w:rsidP="0065777F">
      <w:pPr>
        <w:pStyle w:val="ListParagraph"/>
        <w:numPr>
          <w:ilvl w:val="1"/>
          <w:numId w:val="2"/>
        </w:numPr>
        <w:autoSpaceDE w:val="0"/>
        <w:autoSpaceDN w:val="0"/>
        <w:adjustRightInd w:val="0"/>
        <w:ind w:left="720"/>
        <w:jc w:val="both"/>
        <w:rPr>
          <w:lang w:eastAsia="x-none"/>
        </w:rPr>
      </w:pPr>
      <w:r>
        <w:rPr>
          <w:lang w:eastAsia="x-none"/>
        </w:rPr>
        <w:t>NY 518</w:t>
      </w:r>
      <w:r w:rsidR="0065777F">
        <w:rPr>
          <w:lang w:eastAsia="x-none"/>
        </w:rPr>
        <w:t xml:space="preserve"> scheduled for </w:t>
      </w:r>
      <w:r>
        <w:rPr>
          <w:lang w:eastAsia="x-none"/>
        </w:rPr>
        <w:t xml:space="preserve">February 26, </w:t>
      </w:r>
      <w:r w:rsidR="0065777F">
        <w:rPr>
          <w:lang w:eastAsia="x-none"/>
        </w:rPr>
        <w:t>2016</w:t>
      </w: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2" w:name="_Toc314561458"/>
      <w:r w:rsidRPr="004365E4">
        <w:rPr>
          <w:rFonts w:ascii="Times New Roman" w:hAnsi="Times New Roman"/>
          <w:b w:val="0"/>
          <w:bCs w:val="0"/>
          <w:kern w:val="0"/>
          <w:sz w:val="24"/>
          <w:szCs w:val="24"/>
          <w:lang w:val="en-US"/>
        </w:rPr>
        <w:t>Regulatory Update</w:t>
      </w:r>
      <w:bookmarkEnd w:id="12"/>
    </w:p>
    <w:p w:rsidR="00AA08F5" w:rsidRDefault="00111B08" w:rsidP="00111B08">
      <w:pPr>
        <w:pStyle w:val="ListParagraph"/>
        <w:numPr>
          <w:ilvl w:val="0"/>
          <w:numId w:val="2"/>
        </w:numPr>
        <w:autoSpaceDE w:val="0"/>
        <w:autoSpaceDN w:val="0"/>
        <w:adjustRightInd w:val="0"/>
        <w:jc w:val="both"/>
        <w:rPr>
          <w:lang w:eastAsia="x-none"/>
        </w:rPr>
      </w:pPr>
      <w:r>
        <w:rPr>
          <w:lang w:eastAsia="x-none"/>
        </w:rPr>
        <w:t xml:space="preserve">VoIP direct access order related </w:t>
      </w:r>
      <w:r w:rsidR="00733849">
        <w:rPr>
          <w:lang w:eastAsia="x-none"/>
        </w:rPr>
        <w:t>activities</w:t>
      </w:r>
      <w:r w:rsidR="00473376">
        <w:rPr>
          <w:lang w:eastAsia="x-none"/>
        </w:rPr>
        <w:t>:</w:t>
      </w:r>
    </w:p>
    <w:p w:rsidR="00C73CBC" w:rsidRDefault="00C73CBC" w:rsidP="00111B08">
      <w:pPr>
        <w:pStyle w:val="ListParagraph"/>
        <w:numPr>
          <w:ilvl w:val="1"/>
          <w:numId w:val="2"/>
        </w:numPr>
        <w:autoSpaceDE w:val="0"/>
        <w:autoSpaceDN w:val="0"/>
        <w:adjustRightInd w:val="0"/>
        <w:ind w:left="720"/>
        <w:jc w:val="both"/>
        <w:rPr>
          <w:lang w:eastAsia="x-none"/>
        </w:rPr>
      </w:pPr>
      <w:r>
        <w:rPr>
          <w:lang w:eastAsia="x-none"/>
        </w:rPr>
        <w:t>30 day notification template developed by INC has been sent to three states but the PA has not heard any comments from the states.</w:t>
      </w:r>
    </w:p>
    <w:p w:rsidR="00C73CBC" w:rsidRDefault="00C73CBC" w:rsidP="00111B08">
      <w:pPr>
        <w:pStyle w:val="ListParagraph"/>
        <w:numPr>
          <w:ilvl w:val="1"/>
          <w:numId w:val="2"/>
        </w:numPr>
        <w:autoSpaceDE w:val="0"/>
        <w:autoSpaceDN w:val="0"/>
        <w:adjustRightInd w:val="0"/>
        <w:ind w:left="720"/>
        <w:jc w:val="both"/>
        <w:rPr>
          <w:lang w:eastAsia="x-none"/>
        </w:rPr>
      </w:pPr>
      <w:r>
        <w:rPr>
          <w:lang w:eastAsia="x-none"/>
        </w:rPr>
        <w:t>PA noted that the FCC began taking applications from VoIP providers on 2/18/16 and only one application has</w:t>
      </w:r>
      <w:r w:rsidR="00733849">
        <w:rPr>
          <w:lang w:eastAsia="x-none"/>
        </w:rPr>
        <w:t xml:space="preserve"> been</w:t>
      </w:r>
      <w:r>
        <w:rPr>
          <w:lang w:eastAsia="x-none"/>
        </w:rPr>
        <w:t xml:space="preserve"> submitted.</w:t>
      </w:r>
    </w:p>
    <w:p w:rsidR="00C73CBC" w:rsidRDefault="00C73CBC" w:rsidP="00111B08">
      <w:pPr>
        <w:pStyle w:val="ListParagraph"/>
        <w:numPr>
          <w:ilvl w:val="1"/>
          <w:numId w:val="2"/>
        </w:numPr>
        <w:autoSpaceDE w:val="0"/>
        <w:autoSpaceDN w:val="0"/>
        <w:adjustRightInd w:val="0"/>
        <w:ind w:left="720"/>
        <w:jc w:val="both"/>
        <w:rPr>
          <w:lang w:eastAsia="x-none"/>
        </w:rPr>
      </w:pPr>
      <w:r>
        <w:rPr>
          <w:lang w:eastAsia="x-none"/>
        </w:rPr>
        <w:t>On 2/18/16, the PA posted to the PA website a Quick Sheet for the VoIP service providers.</w:t>
      </w:r>
    </w:p>
    <w:p w:rsidR="00C73CBC" w:rsidRDefault="00C73CBC" w:rsidP="00C73CBC">
      <w:pPr>
        <w:pStyle w:val="ListParagraph"/>
        <w:numPr>
          <w:ilvl w:val="0"/>
          <w:numId w:val="2"/>
        </w:numPr>
        <w:autoSpaceDE w:val="0"/>
        <w:autoSpaceDN w:val="0"/>
        <w:adjustRightInd w:val="0"/>
        <w:jc w:val="both"/>
        <w:rPr>
          <w:lang w:eastAsia="x-none"/>
        </w:rPr>
      </w:pPr>
      <w:r>
        <w:rPr>
          <w:lang w:eastAsia="x-none"/>
        </w:rPr>
        <w:t>Joint NANPA/PA state calls were held on February 25, 2016</w:t>
      </w:r>
    </w:p>
    <w:p w:rsidR="00C73CBC" w:rsidRDefault="00C73CBC" w:rsidP="00C73CBC">
      <w:pPr>
        <w:pStyle w:val="ListParagraph"/>
        <w:numPr>
          <w:ilvl w:val="1"/>
          <w:numId w:val="2"/>
        </w:numPr>
        <w:autoSpaceDE w:val="0"/>
        <w:autoSpaceDN w:val="0"/>
        <w:adjustRightInd w:val="0"/>
        <w:ind w:left="720"/>
        <w:jc w:val="both"/>
        <w:rPr>
          <w:lang w:eastAsia="x-none"/>
        </w:rPr>
      </w:pPr>
      <w:r>
        <w:rPr>
          <w:lang w:eastAsia="x-none"/>
        </w:rPr>
        <w:t>26 staff members from 20 states participated in the two sessions</w:t>
      </w:r>
    </w:p>
    <w:p w:rsidR="004154B6" w:rsidRPr="00111B08" w:rsidRDefault="00C73CBC" w:rsidP="00C73CBC">
      <w:pPr>
        <w:pStyle w:val="ListParagraph"/>
        <w:autoSpaceDE w:val="0"/>
        <w:autoSpaceDN w:val="0"/>
        <w:adjustRightInd w:val="0"/>
        <w:jc w:val="both"/>
        <w:rPr>
          <w:lang w:eastAsia="x-none"/>
        </w:rPr>
      </w:pPr>
      <w:r>
        <w:rPr>
          <w:lang w:eastAsia="x-none"/>
        </w:rPr>
        <w:t xml:space="preserve">  </w:t>
      </w:r>
    </w:p>
    <w:p w:rsidR="004154B6" w:rsidRPr="004154B6" w:rsidRDefault="004154B6" w:rsidP="004154B6">
      <w:pPr>
        <w:tabs>
          <w:tab w:val="left" w:pos="1350"/>
        </w:tabs>
        <w:autoSpaceDE w:val="0"/>
        <w:autoSpaceDN w:val="0"/>
        <w:adjustRightInd w:val="0"/>
        <w:jc w:val="both"/>
        <w:rPr>
          <w:rFonts w:ascii="Arial" w:hAnsi="Arial" w:cs="Arial"/>
          <w:sz w:val="20"/>
          <w:szCs w:val="20"/>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r w:rsidR="007914C6"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7914C6" w:rsidRPr="007914C6" w:rsidRDefault="007914C6" w:rsidP="007914C6">
            <w:pPr>
              <w:rPr>
                <w:rFonts w:ascii="Arial" w:hAnsi="Arial" w:cs="Arial"/>
                <w:bCs/>
                <w:kern w:val="32"/>
                <w:sz w:val="20"/>
                <w:szCs w:val="20"/>
              </w:rPr>
            </w:pPr>
            <w:r w:rsidRPr="007914C6">
              <w:rPr>
                <w:rFonts w:ascii="Arial" w:hAnsi="Arial" w:cs="Arial"/>
                <w:bCs/>
                <w:kern w:val="32"/>
                <w:sz w:val="20"/>
                <w:szCs w:val="20"/>
              </w:rPr>
              <w:t xml:space="preserve">Received a new SP Consultant user registration missing OCNs that apply to the NENA IDs provided as well as missing LOAs for the NENA IDs provided. </w:t>
            </w:r>
          </w:p>
        </w:tc>
        <w:tc>
          <w:tcPr>
            <w:tcW w:w="4770" w:type="dxa"/>
            <w:tcBorders>
              <w:top w:val="single" w:sz="4" w:space="0" w:color="auto"/>
              <w:left w:val="nil"/>
              <w:bottom w:val="single" w:sz="4" w:space="0" w:color="auto"/>
              <w:right w:val="single" w:sz="4" w:space="0" w:color="auto"/>
            </w:tcBorders>
            <w:shd w:val="clear" w:color="auto" w:fill="auto"/>
          </w:tcPr>
          <w:p w:rsidR="007914C6" w:rsidRPr="007914C6" w:rsidRDefault="007914C6" w:rsidP="007914C6">
            <w:pPr>
              <w:rPr>
                <w:rFonts w:ascii="Arial" w:hAnsi="Arial" w:cs="Arial"/>
                <w:bCs/>
                <w:kern w:val="32"/>
                <w:sz w:val="20"/>
                <w:szCs w:val="20"/>
              </w:rPr>
            </w:pPr>
            <w:r w:rsidRPr="007914C6">
              <w:rPr>
                <w:rFonts w:ascii="Arial" w:hAnsi="Arial" w:cs="Arial"/>
                <w:bCs/>
                <w:kern w:val="32"/>
                <w:sz w:val="20"/>
                <w:szCs w:val="20"/>
              </w:rPr>
              <w:t>Provided the user a list of which OCNs go with which NENA IDs based on the information we have on file for this company and asked the user to re-register using the information we provided.</w:t>
            </w:r>
          </w:p>
        </w:tc>
      </w:tr>
      <w:tr w:rsidR="007914C6"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7914C6" w:rsidRPr="007914C6" w:rsidRDefault="007914C6" w:rsidP="007914C6">
            <w:pPr>
              <w:rPr>
                <w:rFonts w:ascii="Arial" w:hAnsi="Arial" w:cs="Arial"/>
                <w:bCs/>
                <w:kern w:val="32"/>
                <w:sz w:val="20"/>
                <w:szCs w:val="20"/>
              </w:rPr>
            </w:pPr>
            <w:r w:rsidRPr="007914C6">
              <w:rPr>
                <w:rFonts w:ascii="Arial" w:hAnsi="Arial" w:cs="Arial"/>
                <w:bCs/>
                <w:kern w:val="32"/>
                <w:sz w:val="20"/>
                <w:szCs w:val="20"/>
              </w:rPr>
              <w:t>Received an email from a carrier using a new company email address.</w:t>
            </w:r>
          </w:p>
        </w:tc>
        <w:tc>
          <w:tcPr>
            <w:tcW w:w="4770" w:type="dxa"/>
            <w:tcBorders>
              <w:top w:val="single" w:sz="4" w:space="0" w:color="auto"/>
              <w:left w:val="nil"/>
              <w:bottom w:val="single" w:sz="4" w:space="0" w:color="auto"/>
              <w:right w:val="single" w:sz="4" w:space="0" w:color="auto"/>
            </w:tcBorders>
            <w:shd w:val="clear" w:color="auto" w:fill="auto"/>
          </w:tcPr>
          <w:p w:rsidR="007914C6" w:rsidRPr="007914C6" w:rsidRDefault="007914C6" w:rsidP="007914C6">
            <w:pPr>
              <w:rPr>
                <w:rFonts w:ascii="Arial" w:hAnsi="Arial" w:cs="Arial"/>
                <w:bCs/>
                <w:kern w:val="32"/>
                <w:sz w:val="20"/>
                <w:szCs w:val="20"/>
              </w:rPr>
            </w:pPr>
            <w:r w:rsidRPr="007914C6">
              <w:rPr>
                <w:rFonts w:ascii="Arial" w:hAnsi="Arial" w:cs="Arial"/>
                <w:bCs/>
                <w:kern w:val="32"/>
                <w:sz w:val="20"/>
                <w:szCs w:val="20"/>
              </w:rPr>
              <w:t>Researched and learned that the company was acquired, so we reached out to all of the affected users to update their RNAS user profile to reflect the new company name and email address.</w:t>
            </w:r>
          </w:p>
        </w:tc>
      </w:tr>
      <w:tr w:rsidR="007914C6" w:rsidRPr="00E20F1B" w:rsidTr="008205A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7914C6" w:rsidRPr="007914C6" w:rsidRDefault="007914C6" w:rsidP="007914C6">
            <w:pPr>
              <w:rPr>
                <w:rFonts w:ascii="Arial" w:hAnsi="Arial" w:cs="Arial"/>
                <w:bCs/>
                <w:kern w:val="32"/>
                <w:sz w:val="20"/>
                <w:szCs w:val="20"/>
              </w:rPr>
            </w:pPr>
            <w:r w:rsidRPr="007914C6">
              <w:rPr>
                <w:rFonts w:ascii="Arial" w:hAnsi="Arial" w:cs="Arial"/>
                <w:bCs/>
                <w:kern w:val="32"/>
                <w:sz w:val="20"/>
                <w:szCs w:val="20"/>
              </w:rPr>
              <w:lastRenderedPageBreak/>
              <w:t>Received a request from a SP Consultant for all of the assigned p-ANI ranges for one of their carriers.</w:t>
            </w:r>
          </w:p>
        </w:tc>
        <w:tc>
          <w:tcPr>
            <w:tcW w:w="4770" w:type="dxa"/>
            <w:tcBorders>
              <w:top w:val="single" w:sz="4" w:space="0" w:color="auto"/>
              <w:left w:val="nil"/>
              <w:bottom w:val="single" w:sz="4" w:space="0" w:color="auto"/>
              <w:right w:val="single" w:sz="4" w:space="0" w:color="auto"/>
            </w:tcBorders>
            <w:shd w:val="clear" w:color="auto" w:fill="auto"/>
          </w:tcPr>
          <w:p w:rsidR="007914C6" w:rsidRPr="007914C6" w:rsidRDefault="007914C6" w:rsidP="007914C6">
            <w:pPr>
              <w:rPr>
                <w:rFonts w:ascii="Arial" w:hAnsi="Arial" w:cs="Arial"/>
                <w:bCs/>
                <w:kern w:val="32"/>
                <w:sz w:val="20"/>
                <w:szCs w:val="20"/>
              </w:rPr>
            </w:pPr>
            <w:r w:rsidRPr="007914C6">
              <w:rPr>
                <w:rFonts w:ascii="Arial" w:hAnsi="Arial" w:cs="Arial"/>
                <w:bCs/>
                <w:kern w:val="32"/>
                <w:sz w:val="20"/>
                <w:szCs w:val="20"/>
              </w:rPr>
              <w:t>Provided the report, which saved the user time from having to pull the report for each individual state.</w:t>
            </w:r>
          </w:p>
        </w:tc>
      </w:tr>
    </w:tbl>
    <w:p w:rsid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BB431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A state regulatory staff person sought reports on how many blocks and codes were assigned in 2013, 2014 and 2015.</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We ran the 3 ad hoc reports for the staff person.</w:t>
            </w:r>
          </w:p>
        </w:tc>
      </w:tr>
      <w:tr w:rsidR="00BB431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A state regulatory staff person taking over numbering responsibilities requested an educational session on pooling processes.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In preparation for the scheduled an educational session we prepared an overview presentation about pooling processes. He was unable to attend the scheduled mtg. so we briefly discussed the overview.  We explained the overdue Part 4 process for him in a separate call.  </w:t>
            </w:r>
          </w:p>
        </w:tc>
      </w:tr>
      <w:tr w:rsidR="00BB431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VoIP order notice was published in the Daily Digest with final procedures and a timeline.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Scheduled a conference call on Feb 9 for state commission staff persons to review the timeline and the 30-day notification requirement. It was attended by 26 staff persons from 20 states.</w:t>
            </w:r>
          </w:p>
        </w:tc>
      </w:tr>
      <w:tr w:rsidR="00BB4317"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We were asked to request voluntary block disconnects in 3 pooling rate centers that did not have any available blocks.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 xml:space="preserve">We had requested block disconnects for the rate centers and did not receive any block disconnects for the rate centers. </w:t>
            </w:r>
          </w:p>
        </w:tc>
      </w:tr>
      <w:tr w:rsidR="00BB4317" w:rsidRPr="00872E20" w:rsidTr="00F65AC5">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 xml:space="preserve">We reached out 107 times to applicants who either did not provide us with supporting documentation for submitted requests or provided us with insufficient supporting documentation.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B4317" w:rsidRPr="00BB4317" w:rsidRDefault="00BB4317" w:rsidP="00BB4317">
            <w:pPr>
              <w:rPr>
                <w:rFonts w:ascii="Arial" w:hAnsi="Arial" w:cs="Arial"/>
                <w:bCs/>
                <w:kern w:val="32"/>
                <w:sz w:val="20"/>
                <w:szCs w:val="20"/>
              </w:rPr>
            </w:pPr>
            <w:r w:rsidRPr="00BB4317">
              <w:rPr>
                <w:rFonts w:ascii="Arial" w:hAnsi="Arial" w:cs="Arial"/>
                <w:bCs/>
                <w:kern w:val="32"/>
                <w:sz w:val="20"/>
                <w:szCs w:val="20"/>
              </w:rPr>
              <w:t xml:space="preserve">This helped educate the applicants about providing the correct documentation that is identified in the INC guidelines. </w:t>
            </w:r>
          </w:p>
        </w:tc>
      </w:tr>
    </w:tbl>
    <w:p w:rsidR="000C5A67"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B0228D" w:rsidRDefault="00B0228D" w:rsidP="00B0228D">
      <w:pPr>
        <w:pStyle w:val="ListParagraph"/>
        <w:numPr>
          <w:ilvl w:val="0"/>
          <w:numId w:val="2"/>
        </w:numPr>
        <w:autoSpaceDE w:val="0"/>
        <w:autoSpaceDN w:val="0"/>
        <w:adjustRightInd w:val="0"/>
        <w:jc w:val="both"/>
        <w:rPr>
          <w:lang w:eastAsia="x-none"/>
        </w:rPr>
      </w:pPr>
      <w:r>
        <w:rPr>
          <w:lang w:eastAsia="x-none"/>
        </w:rPr>
        <w:t>There was one new trouble ticket</w:t>
      </w:r>
    </w:p>
    <w:p w:rsidR="00B0228D" w:rsidRDefault="00B0228D" w:rsidP="00B0228D">
      <w:pPr>
        <w:pStyle w:val="ListParagraph"/>
        <w:numPr>
          <w:ilvl w:val="1"/>
          <w:numId w:val="2"/>
        </w:numPr>
        <w:autoSpaceDE w:val="0"/>
        <w:autoSpaceDN w:val="0"/>
        <w:adjustRightInd w:val="0"/>
        <w:ind w:left="720"/>
        <w:jc w:val="both"/>
        <w:rPr>
          <w:lang w:eastAsia="x-none"/>
        </w:rPr>
      </w:pPr>
      <w:r>
        <w:rPr>
          <w:lang w:eastAsia="x-none"/>
        </w:rPr>
        <w:t>1540 – When a user submitted a mass modification, PAS changed the OCN to an old OCN that existed prior to a block transfer in 2008.  This ticket was opened on 2/25/16</w:t>
      </w:r>
    </w:p>
    <w:p w:rsidR="00B0228D" w:rsidRDefault="00B0228D" w:rsidP="00B0228D">
      <w:pPr>
        <w:pStyle w:val="ListParagraph"/>
        <w:numPr>
          <w:ilvl w:val="0"/>
          <w:numId w:val="2"/>
        </w:numPr>
        <w:autoSpaceDE w:val="0"/>
        <w:autoSpaceDN w:val="0"/>
        <w:adjustRightInd w:val="0"/>
        <w:jc w:val="both"/>
        <w:rPr>
          <w:lang w:eastAsia="x-none"/>
        </w:rPr>
      </w:pPr>
      <w:r>
        <w:rPr>
          <w:lang w:eastAsia="x-none"/>
        </w:rPr>
        <w:t>Tickets 1538 and 1539 were closed on 2/19/16.</w:t>
      </w:r>
    </w:p>
    <w:p w:rsidR="00674C15" w:rsidRDefault="00674C15" w:rsidP="00674C15">
      <w:pPr>
        <w:tabs>
          <w:tab w:val="left" w:pos="1080"/>
        </w:tabs>
        <w:rPr>
          <w:rFonts w:ascii="Arial" w:hAnsi="Arial" w:cs="Arial"/>
          <w:bCs/>
          <w:kern w:val="32"/>
          <w:sz w:val="20"/>
          <w:szCs w:val="20"/>
        </w:rPr>
      </w:pPr>
    </w:p>
    <w:p w:rsidR="009409AD" w:rsidRDefault="009409AD" w:rsidP="00B0228D">
      <w:pPr>
        <w:pStyle w:val="ListParagraph"/>
        <w:tabs>
          <w:tab w:val="left" w:pos="1080"/>
        </w:tabs>
        <w:ind w:left="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850082" w:rsidRDefault="00850082" w:rsidP="002A5E0E">
      <w:pPr>
        <w:tabs>
          <w:tab w:val="left" w:pos="360"/>
          <w:tab w:val="num" w:pos="720"/>
        </w:tabs>
        <w:rPr>
          <w:rFonts w:ascii="Arial" w:hAnsi="Arial" w:cs="Arial"/>
          <w:bCs/>
          <w:kern w:val="32"/>
          <w:sz w:val="20"/>
          <w:szCs w:val="20"/>
        </w:rPr>
      </w:pPr>
    </w:p>
    <w:p w:rsidR="00850082" w:rsidRPr="00850082" w:rsidRDefault="00B0228D" w:rsidP="00111360">
      <w:pPr>
        <w:tabs>
          <w:tab w:val="left" w:pos="360"/>
          <w:tab w:val="num" w:pos="720"/>
        </w:tabs>
        <w:rPr>
          <w:rFonts w:ascii="Arial" w:hAnsi="Arial" w:cs="Arial"/>
          <w:bCs/>
          <w:kern w:val="32"/>
          <w:sz w:val="20"/>
          <w:szCs w:val="20"/>
        </w:rPr>
      </w:pPr>
      <w:r>
        <w:rPr>
          <w:rFonts w:ascii="Arial" w:hAnsi="Arial" w:cs="Arial"/>
          <w:bCs/>
          <w:kern w:val="32"/>
          <w:sz w:val="20"/>
          <w:szCs w:val="20"/>
        </w:rPr>
        <w:object w:dxaOrig="1551" w:dyaOrig="1004">
          <v:shape id="_x0000_i1026" type="#_x0000_t75" style="width:77.25pt;height:50.25pt" o:ole="">
            <v:imagedata r:id="rId10" o:title=""/>
          </v:shape>
          <o:OLEObject Type="Embed" ProgID="Excel.Sheet.12" ShapeID="_x0000_i1026" DrawAspect="Icon" ObjectID="_1520317019" r:id="rId11"/>
        </w:object>
      </w: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0B1C8E" w:rsidRDefault="00635159" w:rsidP="000B1C8E">
      <w:pPr>
        <w:pStyle w:val="ListParagraph"/>
        <w:numPr>
          <w:ilvl w:val="0"/>
          <w:numId w:val="12"/>
        </w:numPr>
        <w:rPr>
          <w:rFonts w:ascii="Arial" w:hAnsi="Arial" w:cs="Arial"/>
          <w:bCs/>
          <w:kern w:val="32"/>
          <w:sz w:val="20"/>
          <w:szCs w:val="20"/>
        </w:rPr>
      </w:pPr>
      <w:r>
        <w:rPr>
          <w:rFonts w:ascii="Arial" w:hAnsi="Arial" w:cs="Arial"/>
          <w:bCs/>
          <w:kern w:val="32"/>
          <w:sz w:val="20"/>
          <w:szCs w:val="20"/>
        </w:rPr>
        <w:t xml:space="preserve">Effective March 14, the PA will no longer provide a 1 hour notification which allows a service provider who submits an application without proper documentation to provide the correct documentation without the PA denying the request.  A notification </w:t>
      </w:r>
      <w:r w:rsidR="00733849">
        <w:rPr>
          <w:rFonts w:ascii="Arial" w:hAnsi="Arial" w:cs="Arial"/>
          <w:bCs/>
          <w:kern w:val="32"/>
          <w:sz w:val="20"/>
          <w:szCs w:val="20"/>
        </w:rPr>
        <w:t>was sent</w:t>
      </w:r>
      <w:r>
        <w:rPr>
          <w:rFonts w:ascii="Arial" w:hAnsi="Arial" w:cs="Arial"/>
          <w:bCs/>
          <w:kern w:val="32"/>
          <w:sz w:val="20"/>
          <w:szCs w:val="20"/>
        </w:rPr>
        <w:t xml:space="preserve"> out on Friday, March 11, 2015.</w:t>
      </w:r>
    </w:p>
    <w:p w:rsidR="00F93AF4" w:rsidRPr="00F93AF4" w:rsidRDefault="00F93AF4" w:rsidP="00F93AF4">
      <w:pPr>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4"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4"/>
      <w:r w:rsidRPr="006C17F0">
        <w:rPr>
          <w:rFonts w:ascii="Arial" w:hAnsi="Arial" w:cs="Arial"/>
          <w:color w:val="000000"/>
          <w:sz w:val="20"/>
          <w:szCs w:val="20"/>
          <w:u w:val="single"/>
        </w:rPr>
        <w:t xml:space="preserve"> </w:t>
      </w:r>
    </w:p>
    <w:p w:rsidR="00E53CC9" w:rsidRPr="00635159" w:rsidRDefault="00635159" w:rsidP="00B36A12">
      <w:pPr>
        <w:numPr>
          <w:ilvl w:val="0"/>
          <w:numId w:val="3"/>
        </w:numPr>
        <w:rPr>
          <w:rFonts w:ascii="Arial" w:hAnsi="Arial" w:cs="Arial"/>
          <w:sz w:val="20"/>
          <w:szCs w:val="20"/>
        </w:rPr>
      </w:pPr>
      <w:r w:rsidRPr="00635159">
        <w:rPr>
          <w:rFonts w:ascii="Arial" w:hAnsi="Arial" w:cs="Arial"/>
          <w:sz w:val="20"/>
          <w:szCs w:val="20"/>
        </w:rPr>
        <w:t>April 15, 3:00 pm ET</w:t>
      </w:r>
    </w:p>
    <w:sectPr w:rsidR="00E53CC9" w:rsidRPr="0063515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44" w:rsidRDefault="00E26744">
      <w:r>
        <w:separator/>
      </w:r>
    </w:p>
  </w:endnote>
  <w:endnote w:type="continuationSeparator" w:id="0">
    <w:p w:rsidR="00E26744" w:rsidRDefault="00E2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CC5C72">
      <w:rPr>
        <w:rFonts w:ascii="Arial" w:hAnsi="Arial" w:cs="Arial"/>
        <w:noProof/>
        <w:sz w:val="20"/>
        <w:szCs w:val="20"/>
      </w:rPr>
      <w:t>2</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CC5C72">
      <w:rPr>
        <w:rFonts w:ascii="Arial" w:hAnsi="Arial" w:cs="Arial"/>
        <w:noProof/>
        <w:sz w:val="20"/>
        <w:szCs w:val="20"/>
      </w:rPr>
      <w:t>4</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44" w:rsidRDefault="00E26744">
      <w:r>
        <w:separator/>
      </w:r>
    </w:p>
  </w:footnote>
  <w:footnote w:type="continuationSeparator" w:id="0">
    <w:p w:rsidR="00E26744" w:rsidRDefault="00E2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877790" w:rsidP="00FA5398">
    <w:pPr>
      <w:jc w:val="center"/>
      <w:rPr>
        <w:rStyle w:val="Strong"/>
        <w:rFonts w:ascii="Arial" w:hAnsi="Arial" w:cs="Arial"/>
        <w:sz w:val="20"/>
        <w:szCs w:val="20"/>
      </w:rPr>
    </w:pPr>
    <w:r>
      <w:rPr>
        <w:rStyle w:val="Strong"/>
        <w:rFonts w:ascii="Arial" w:hAnsi="Arial" w:cs="Arial"/>
        <w:sz w:val="20"/>
        <w:szCs w:val="20"/>
      </w:rPr>
      <w:t>March 15</w:t>
    </w:r>
    <w:r w:rsidR="0089202D">
      <w:rPr>
        <w:rStyle w:val="Strong"/>
        <w:rFonts w:ascii="Arial" w:hAnsi="Arial" w:cs="Arial"/>
        <w:sz w:val="20"/>
        <w:szCs w:val="20"/>
      </w:rPr>
      <w:t>, 2016</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3F"/>
    <w:multiLevelType w:val="hybridMultilevel"/>
    <w:tmpl w:val="22E05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149F"/>
    <w:multiLevelType w:val="hybridMultilevel"/>
    <w:tmpl w:val="AB4C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7503A4"/>
    <w:multiLevelType w:val="hybridMultilevel"/>
    <w:tmpl w:val="9342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E5094"/>
    <w:multiLevelType w:val="hybridMultilevel"/>
    <w:tmpl w:val="146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41CCC"/>
    <w:multiLevelType w:val="hybridMultilevel"/>
    <w:tmpl w:val="03F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942B8"/>
    <w:multiLevelType w:val="hybridMultilevel"/>
    <w:tmpl w:val="AEC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F359B"/>
    <w:multiLevelType w:val="hybridMultilevel"/>
    <w:tmpl w:val="9BD6E008"/>
    <w:lvl w:ilvl="0" w:tplc="3086D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5F311767"/>
    <w:multiLevelType w:val="hybridMultilevel"/>
    <w:tmpl w:val="D95AE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B940FD"/>
    <w:multiLevelType w:val="hybridMultilevel"/>
    <w:tmpl w:val="F2BEF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50A01"/>
    <w:multiLevelType w:val="hybridMultilevel"/>
    <w:tmpl w:val="F2949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0"/>
  </w:num>
  <w:num w:numId="3">
    <w:abstractNumId w:val="14"/>
  </w:num>
  <w:num w:numId="4">
    <w:abstractNumId w:val="9"/>
  </w:num>
  <w:num w:numId="5">
    <w:abstractNumId w:val="1"/>
  </w:num>
  <w:num w:numId="6">
    <w:abstractNumId w:val="6"/>
  </w:num>
  <w:num w:numId="7">
    <w:abstractNumId w:val="17"/>
  </w:num>
  <w:num w:numId="8">
    <w:abstractNumId w:val="10"/>
  </w:num>
  <w:num w:numId="9">
    <w:abstractNumId w:val="13"/>
  </w:num>
  <w:num w:numId="10">
    <w:abstractNumId w:val="5"/>
  </w:num>
  <w:num w:numId="11">
    <w:abstractNumId w:val="16"/>
  </w:num>
  <w:num w:numId="12">
    <w:abstractNumId w:val="3"/>
  </w:num>
  <w:num w:numId="13">
    <w:abstractNumId w:val="4"/>
  </w:num>
  <w:num w:numId="14">
    <w:abstractNumId w:val="11"/>
  </w:num>
  <w:num w:numId="15">
    <w:abstractNumId w:val="8"/>
  </w:num>
  <w:num w:numId="16">
    <w:abstractNumId w:val="2"/>
  </w:num>
  <w:num w:numId="17">
    <w:abstractNumId w:val="7"/>
  </w:num>
  <w:num w:numId="18">
    <w:abstractNumId w:val="15"/>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1D1"/>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3F37"/>
    <w:rsid w:val="00054EDB"/>
    <w:rsid w:val="000559A4"/>
    <w:rsid w:val="00055E86"/>
    <w:rsid w:val="00056184"/>
    <w:rsid w:val="000566C2"/>
    <w:rsid w:val="0005677E"/>
    <w:rsid w:val="000571AE"/>
    <w:rsid w:val="000579AD"/>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55F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2657"/>
    <w:rsid w:val="000A27A6"/>
    <w:rsid w:val="000A322A"/>
    <w:rsid w:val="000A4982"/>
    <w:rsid w:val="000A4CCD"/>
    <w:rsid w:val="000A6AD6"/>
    <w:rsid w:val="000A76C5"/>
    <w:rsid w:val="000B0A2A"/>
    <w:rsid w:val="000B1544"/>
    <w:rsid w:val="000B1818"/>
    <w:rsid w:val="000B1C8E"/>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10FD"/>
    <w:rsid w:val="00111360"/>
    <w:rsid w:val="0011138B"/>
    <w:rsid w:val="00111B08"/>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BD"/>
    <w:rsid w:val="001459AD"/>
    <w:rsid w:val="0014600E"/>
    <w:rsid w:val="0014699E"/>
    <w:rsid w:val="00151355"/>
    <w:rsid w:val="00151E35"/>
    <w:rsid w:val="001526FF"/>
    <w:rsid w:val="00153283"/>
    <w:rsid w:val="00153792"/>
    <w:rsid w:val="001541FB"/>
    <w:rsid w:val="0015442C"/>
    <w:rsid w:val="00155CEB"/>
    <w:rsid w:val="00157A97"/>
    <w:rsid w:val="00161435"/>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5B0A"/>
    <w:rsid w:val="001C629F"/>
    <w:rsid w:val="001C759C"/>
    <w:rsid w:val="001C7E64"/>
    <w:rsid w:val="001D2901"/>
    <w:rsid w:val="001D35D8"/>
    <w:rsid w:val="001D36B0"/>
    <w:rsid w:val="001D40BF"/>
    <w:rsid w:val="001D487D"/>
    <w:rsid w:val="001D513E"/>
    <w:rsid w:val="001D54EF"/>
    <w:rsid w:val="001D66A1"/>
    <w:rsid w:val="001D715D"/>
    <w:rsid w:val="001E263C"/>
    <w:rsid w:val="001E2843"/>
    <w:rsid w:val="001E2F47"/>
    <w:rsid w:val="001E3321"/>
    <w:rsid w:val="001E3C6E"/>
    <w:rsid w:val="001E4184"/>
    <w:rsid w:val="001E4D1C"/>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2E"/>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C7909"/>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08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50D"/>
    <w:rsid w:val="00391BE7"/>
    <w:rsid w:val="00392820"/>
    <w:rsid w:val="003944E3"/>
    <w:rsid w:val="003949E8"/>
    <w:rsid w:val="00395BE8"/>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54B6"/>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6D2F"/>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EF5"/>
    <w:rsid w:val="005326F1"/>
    <w:rsid w:val="005345F4"/>
    <w:rsid w:val="005353A7"/>
    <w:rsid w:val="00535F11"/>
    <w:rsid w:val="00536ED2"/>
    <w:rsid w:val="0053712C"/>
    <w:rsid w:val="00537A89"/>
    <w:rsid w:val="00537B91"/>
    <w:rsid w:val="00540442"/>
    <w:rsid w:val="00540AD3"/>
    <w:rsid w:val="00543619"/>
    <w:rsid w:val="00544114"/>
    <w:rsid w:val="00547436"/>
    <w:rsid w:val="0054775E"/>
    <w:rsid w:val="0054797F"/>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67E53"/>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159"/>
    <w:rsid w:val="00635648"/>
    <w:rsid w:val="00636120"/>
    <w:rsid w:val="006367E0"/>
    <w:rsid w:val="006368EE"/>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3C8A"/>
    <w:rsid w:val="0065510C"/>
    <w:rsid w:val="0065538E"/>
    <w:rsid w:val="00655469"/>
    <w:rsid w:val="00656B67"/>
    <w:rsid w:val="0065777F"/>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4C15"/>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5BF"/>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E3D07"/>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4084"/>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849"/>
    <w:rsid w:val="007339B3"/>
    <w:rsid w:val="007352BA"/>
    <w:rsid w:val="00735AC7"/>
    <w:rsid w:val="0073728A"/>
    <w:rsid w:val="0074111B"/>
    <w:rsid w:val="0074167A"/>
    <w:rsid w:val="00742469"/>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4C6"/>
    <w:rsid w:val="007915F8"/>
    <w:rsid w:val="0079193D"/>
    <w:rsid w:val="007921B4"/>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790"/>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02D"/>
    <w:rsid w:val="00892C06"/>
    <w:rsid w:val="00893E10"/>
    <w:rsid w:val="0089467C"/>
    <w:rsid w:val="00894F24"/>
    <w:rsid w:val="0089513C"/>
    <w:rsid w:val="00897CBA"/>
    <w:rsid w:val="008A0500"/>
    <w:rsid w:val="008A11A9"/>
    <w:rsid w:val="008A1948"/>
    <w:rsid w:val="008A1EDB"/>
    <w:rsid w:val="008A2BEC"/>
    <w:rsid w:val="008A303A"/>
    <w:rsid w:val="008A31FB"/>
    <w:rsid w:val="008A343F"/>
    <w:rsid w:val="008A45CD"/>
    <w:rsid w:val="008A4995"/>
    <w:rsid w:val="008A49B4"/>
    <w:rsid w:val="008A4B35"/>
    <w:rsid w:val="008A5D35"/>
    <w:rsid w:val="008A64FA"/>
    <w:rsid w:val="008A66B0"/>
    <w:rsid w:val="008A7EB6"/>
    <w:rsid w:val="008B193C"/>
    <w:rsid w:val="008B2DB2"/>
    <w:rsid w:val="008B327D"/>
    <w:rsid w:val="008B39B9"/>
    <w:rsid w:val="008B54F4"/>
    <w:rsid w:val="008B558C"/>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3F8"/>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49C3"/>
    <w:rsid w:val="00916006"/>
    <w:rsid w:val="0091601B"/>
    <w:rsid w:val="009164D6"/>
    <w:rsid w:val="00917265"/>
    <w:rsid w:val="00920B9A"/>
    <w:rsid w:val="00920DE7"/>
    <w:rsid w:val="00920E79"/>
    <w:rsid w:val="00921835"/>
    <w:rsid w:val="00921BDE"/>
    <w:rsid w:val="0092217A"/>
    <w:rsid w:val="009221D4"/>
    <w:rsid w:val="00922937"/>
    <w:rsid w:val="00922D85"/>
    <w:rsid w:val="00922E89"/>
    <w:rsid w:val="009240FC"/>
    <w:rsid w:val="00927E90"/>
    <w:rsid w:val="00930ECC"/>
    <w:rsid w:val="00931510"/>
    <w:rsid w:val="009316B5"/>
    <w:rsid w:val="00931932"/>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1C9B"/>
    <w:rsid w:val="009432F1"/>
    <w:rsid w:val="009436B5"/>
    <w:rsid w:val="00944CEB"/>
    <w:rsid w:val="00944DB8"/>
    <w:rsid w:val="00944E7F"/>
    <w:rsid w:val="00946590"/>
    <w:rsid w:val="009503F2"/>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6C68"/>
    <w:rsid w:val="009B716D"/>
    <w:rsid w:val="009B76F2"/>
    <w:rsid w:val="009C0C75"/>
    <w:rsid w:val="009C0F10"/>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D6141"/>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1CB"/>
    <w:rsid w:val="00AE27F5"/>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498"/>
    <w:rsid w:val="00AF58B4"/>
    <w:rsid w:val="00AF7672"/>
    <w:rsid w:val="00AF7D82"/>
    <w:rsid w:val="00B008E3"/>
    <w:rsid w:val="00B010EF"/>
    <w:rsid w:val="00B01F38"/>
    <w:rsid w:val="00B0228D"/>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0966"/>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20E"/>
    <w:rsid w:val="00B5132B"/>
    <w:rsid w:val="00B5166F"/>
    <w:rsid w:val="00B528DD"/>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18A"/>
    <w:rsid w:val="00B949BF"/>
    <w:rsid w:val="00B953E1"/>
    <w:rsid w:val="00B969A5"/>
    <w:rsid w:val="00BA0CF5"/>
    <w:rsid w:val="00BA1B7C"/>
    <w:rsid w:val="00BA43B4"/>
    <w:rsid w:val="00BA6E9B"/>
    <w:rsid w:val="00BA76CB"/>
    <w:rsid w:val="00BA7887"/>
    <w:rsid w:val="00BA7ABF"/>
    <w:rsid w:val="00BB022A"/>
    <w:rsid w:val="00BB03DD"/>
    <w:rsid w:val="00BB120F"/>
    <w:rsid w:val="00BB1F02"/>
    <w:rsid w:val="00BB27F1"/>
    <w:rsid w:val="00BB318A"/>
    <w:rsid w:val="00BB37C4"/>
    <w:rsid w:val="00BB3C66"/>
    <w:rsid w:val="00BB4317"/>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1D5D"/>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1B64"/>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CBC"/>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C5C72"/>
    <w:rsid w:val="00CD0450"/>
    <w:rsid w:val="00CD07B4"/>
    <w:rsid w:val="00CD0B88"/>
    <w:rsid w:val="00CD12F8"/>
    <w:rsid w:val="00CD1678"/>
    <w:rsid w:val="00CD19FA"/>
    <w:rsid w:val="00CD2057"/>
    <w:rsid w:val="00CD2630"/>
    <w:rsid w:val="00CD2BEA"/>
    <w:rsid w:val="00CD3324"/>
    <w:rsid w:val="00CD3E18"/>
    <w:rsid w:val="00CD4103"/>
    <w:rsid w:val="00CD416E"/>
    <w:rsid w:val="00CD41DD"/>
    <w:rsid w:val="00CD459E"/>
    <w:rsid w:val="00CD6674"/>
    <w:rsid w:val="00CD7B40"/>
    <w:rsid w:val="00CE1363"/>
    <w:rsid w:val="00CE1747"/>
    <w:rsid w:val="00CE2C6F"/>
    <w:rsid w:val="00CE3929"/>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83A"/>
    <w:rsid w:val="00D359BE"/>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6744"/>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029"/>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09CB"/>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668"/>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1D38"/>
    <w:rsid w:val="00F723D0"/>
    <w:rsid w:val="00F7280F"/>
    <w:rsid w:val="00F72BFF"/>
    <w:rsid w:val="00F749B6"/>
    <w:rsid w:val="00F77593"/>
    <w:rsid w:val="00F802DC"/>
    <w:rsid w:val="00F80697"/>
    <w:rsid w:val="00F818E5"/>
    <w:rsid w:val="00F818EA"/>
    <w:rsid w:val="00F81AC8"/>
    <w:rsid w:val="00F825E8"/>
    <w:rsid w:val="00F82844"/>
    <w:rsid w:val="00F82C75"/>
    <w:rsid w:val="00F83F33"/>
    <w:rsid w:val="00F84112"/>
    <w:rsid w:val="00F850FE"/>
    <w:rsid w:val="00F85AE0"/>
    <w:rsid w:val="00F85B7D"/>
    <w:rsid w:val="00F85BE9"/>
    <w:rsid w:val="00F87748"/>
    <w:rsid w:val="00F90679"/>
    <w:rsid w:val="00F91D55"/>
    <w:rsid w:val="00F922E7"/>
    <w:rsid w:val="00F92FC8"/>
    <w:rsid w:val="00F93AF4"/>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2CA2"/>
    <w:rsid w:val="00FC30A2"/>
    <w:rsid w:val="00FC32E2"/>
    <w:rsid w:val="00FC3FA4"/>
    <w:rsid w:val="00FC4A26"/>
    <w:rsid w:val="00FC5320"/>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3C8A"/>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7642FD-4903-43A2-9315-73DCC873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7291618">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3515519">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357193">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C117-CC6F-4E3E-BF97-2334CF47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8199</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Riepenkroger, Karen S [CNO]</cp:lastModifiedBy>
  <cp:revision>3</cp:revision>
  <cp:lastPrinted>2012-07-13T22:45:00Z</cp:lastPrinted>
  <dcterms:created xsi:type="dcterms:W3CDTF">2016-03-24T14:30:00Z</dcterms:created>
  <dcterms:modified xsi:type="dcterms:W3CDTF">2016-03-24T14:31:00Z</dcterms:modified>
</cp:coreProperties>
</file>