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5C22DD">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F60D62" w:rsidRPr="00B27F8F" w:rsidRDefault="00F60D62" w:rsidP="00F60D62">
            <w:pPr>
              <w:rPr>
                <w:rStyle w:val="Strong"/>
                <w:rFonts w:ascii="Arial" w:hAnsi="Arial" w:cs="Arial"/>
                <w:b w:val="0"/>
                <w:bCs w:val="0"/>
                <w:sz w:val="20"/>
                <w:szCs w:val="20"/>
              </w:rPr>
            </w:pPr>
            <w:r w:rsidRPr="00B27F8F">
              <w:rPr>
                <w:rStyle w:val="Strong"/>
                <w:rFonts w:ascii="Arial" w:hAnsi="Arial" w:cs="Arial"/>
                <w:b w:val="0"/>
                <w:bCs w:val="0"/>
                <w:sz w:val="20"/>
                <w:szCs w:val="20"/>
              </w:rPr>
              <w:t>CenturyLink – Jan Doell</w:t>
            </w:r>
          </w:p>
          <w:p w:rsidR="00EF198F" w:rsidRPr="00B27F8F" w:rsidRDefault="00F60D62" w:rsidP="00F60D62">
            <w:pPr>
              <w:rPr>
                <w:rFonts w:ascii="Arial" w:hAnsi="Arial" w:cs="Arial"/>
                <w:sz w:val="20"/>
                <w:szCs w:val="20"/>
              </w:rPr>
            </w:pPr>
            <w:r w:rsidRPr="00B27F8F">
              <w:rPr>
                <w:rFonts w:ascii="Arial" w:hAnsi="Arial" w:cs="Arial"/>
                <w:sz w:val="20"/>
                <w:szCs w:val="20"/>
              </w:rPr>
              <w:t>Cox Communication - Beth O’Donnell</w:t>
            </w:r>
          </w:p>
          <w:p w:rsidR="00B27F8F" w:rsidRPr="00B27F8F" w:rsidRDefault="00B27F8F" w:rsidP="00B27F8F">
            <w:pPr>
              <w:rPr>
                <w:rStyle w:val="Strong"/>
                <w:rFonts w:ascii="Arial" w:hAnsi="Arial" w:cs="Arial"/>
                <w:b w:val="0"/>
                <w:bCs w:val="0"/>
                <w:sz w:val="20"/>
                <w:szCs w:val="20"/>
              </w:rPr>
            </w:pPr>
            <w:r w:rsidRPr="00B27F8F">
              <w:rPr>
                <w:rStyle w:val="Strong"/>
                <w:rFonts w:ascii="Arial" w:hAnsi="Arial" w:cs="Arial"/>
                <w:b w:val="0"/>
                <w:bCs w:val="0"/>
                <w:sz w:val="20"/>
                <w:szCs w:val="20"/>
              </w:rPr>
              <w:t>PA PUC  -  Chris Hepburn</w:t>
            </w:r>
          </w:p>
          <w:p w:rsidR="00F60D62" w:rsidRPr="00B27F8F" w:rsidRDefault="00F60D62" w:rsidP="00F60D62">
            <w:pPr>
              <w:rPr>
                <w:rStyle w:val="Strong"/>
                <w:rFonts w:ascii="Arial" w:hAnsi="Arial" w:cs="Arial"/>
                <w:b w:val="0"/>
                <w:bCs w:val="0"/>
                <w:sz w:val="20"/>
                <w:szCs w:val="20"/>
              </w:rPr>
            </w:pPr>
            <w:r w:rsidRPr="00B27F8F">
              <w:rPr>
                <w:rStyle w:val="Strong"/>
                <w:rFonts w:ascii="Arial" w:hAnsi="Arial" w:cs="Arial"/>
                <w:b w:val="0"/>
                <w:bCs w:val="0"/>
                <w:sz w:val="20"/>
                <w:szCs w:val="20"/>
              </w:rPr>
              <w:t xml:space="preserve">Sprint – </w:t>
            </w:r>
            <w:r w:rsidR="003B3F1A" w:rsidRPr="00B27F8F">
              <w:rPr>
                <w:rStyle w:val="Strong"/>
                <w:rFonts w:ascii="Arial" w:hAnsi="Arial" w:cs="Arial"/>
                <w:b w:val="0"/>
                <w:bCs w:val="0"/>
                <w:sz w:val="20"/>
                <w:szCs w:val="20"/>
              </w:rPr>
              <w:t>Karen Riepenkroger</w:t>
            </w:r>
          </w:p>
          <w:p w:rsidR="00F60D62" w:rsidRPr="00B27F8F" w:rsidRDefault="00F60D62" w:rsidP="00F60D62">
            <w:pPr>
              <w:rPr>
                <w:rStyle w:val="Strong"/>
                <w:rFonts w:ascii="Arial" w:hAnsi="Arial" w:cs="Arial"/>
                <w:b w:val="0"/>
                <w:bCs w:val="0"/>
                <w:sz w:val="20"/>
                <w:szCs w:val="20"/>
              </w:rPr>
            </w:pPr>
            <w:r w:rsidRPr="00B27F8F">
              <w:rPr>
                <w:rStyle w:val="Strong"/>
                <w:rFonts w:ascii="Arial" w:hAnsi="Arial" w:cs="Arial"/>
                <w:b w:val="0"/>
                <w:bCs w:val="0"/>
                <w:sz w:val="20"/>
                <w:szCs w:val="20"/>
              </w:rPr>
              <w:t>Verizon Communications – Laura Dalton</w:t>
            </w:r>
          </w:p>
          <w:p w:rsidR="00AF11A1" w:rsidRPr="00B27F8F" w:rsidRDefault="00AF11A1" w:rsidP="00F60D62">
            <w:pPr>
              <w:rPr>
                <w:rStyle w:val="Strong"/>
                <w:rFonts w:ascii="Arial" w:hAnsi="Arial" w:cs="Arial"/>
                <w:b w:val="0"/>
                <w:bCs w:val="0"/>
                <w:sz w:val="20"/>
                <w:szCs w:val="20"/>
              </w:rPr>
            </w:pPr>
            <w:r w:rsidRPr="00B27F8F">
              <w:rPr>
                <w:rStyle w:val="Strong"/>
                <w:rFonts w:ascii="Arial" w:hAnsi="Arial" w:cs="Arial"/>
                <w:b w:val="0"/>
                <w:bCs w:val="0"/>
                <w:sz w:val="20"/>
                <w:szCs w:val="20"/>
              </w:rPr>
              <w:t>Verizon Wireless – Dana Crandall</w:t>
            </w:r>
          </w:p>
          <w:p w:rsidR="00211A8F" w:rsidRPr="00BF4543" w:rsidRDefault="00211A8F" w:rsidP="00211A8F">
            <w:pPr>
              <w:rPr>
                <w:rStyle w:val="Strong"/>
                <w:rFonts w:ascii="Arial" w:hAnsi="Arial" w:cs="Arial"/>
                <w:b w:val="0"/>
                <w:bCs w:val="0"/>
                <w:sz w:val="20"/>
                <w:szCs w:val="20"/>
              </w:rPr>
            </w:pPr>
            <w:r w:rsidRPr="00B27F8F">
              <w:rPr>
                <w:rStyle w:val="Strong"/>
                <w:rFonts w:ascii="Arial" w:hAnsi="Arial" w:cs="Arial"/>
                <w:b w:val="0"/>
                <w:bCs w:val="0"/>
                <w:sz w:val="20"/>
                <w:szCs w:val="20"/>
              </w:rPr>
              <w:t>XO Communication – Ruben Galvin</w:t>
            </w:r>
          </w:p>
          <w:p w:rsidR="00F60D62" w:rsidRPr="00BF4543" w:rsidRDefault="00F60D62" w:rsidP="00557C4E">
            <w:pPr>
              <w:rPr>
                <w:rStyle w:val="Strong"/>
                <w:rFonts w:ascii="Arial" w:hAnsi="Arial" w:cs="Arial"/>
                <w:b w:val="0"/>
                <w:bCs w:val="0"/>
                <w:sz w:val="20"/>
                <w:szCs w:val="20"/>
              </w:rPr>
            </w:pPr>
          </w:p>
          <w:p w:rsidR="00BD5DA3" w:rsidRPr="00BF4543" w:rsidRDefault="00BD5DA3" w:rsidP="004F0CFE">
            <w:pPr>
              <w:rPr>
                <w:rStyle w:val="Strong"/>
                <w:rFonts w:ascii="Arial" w:hAnsi="Arial" w:cs="Arial"/>
                <w:b w:val="0"/>
                <w:bCs w:val="0"/>
                <w:color w:val="BFBFBF"/>
                <w:sz w:val="20"/>
                <w:szCs w:val="20"/>
              </w:rPr>
            </w:pPr>
          </w:p>
        </w:tc>
        <w:tc>
          <w:tcPr>
            <w:tcW w:w="4397" w:type="dxa"/>
          </w:tcPr>
          <w:p w:rsidR="00F60D62" w:rsidRPr="00B27F8F" w:rsidRDefault="00F60D62" w:rsidP="00F60D62">
            <w:pPr>
              <w:ind w:left="60"/>
              <w:rPr>
                <w:rFonts w:ascii="Arial" w:hAnsi="Arial" w:cs="Arial"/>
                <w:sz w:val="20"/>
                <w:szCs w:val="20"/>
              </w:rPr>
            </w:pPr>
            <w:r w:rsidRPr="00B27F8F">
              <w:rPr>
                <w:rFonts w:ascii="Arial" w:hAnsi="Arial" w:cs="Arial"/>
                <w:sz w:val="20"/>
                <w:szCs w:val="20"/>
              </w:rPr>
              <w:t>Bruce Armstrong</w:t>
            </w:r>
          </w:p>
          <w:p w:rsidR="00F60D62" w:rsidRPr="00B27F8F" w:rsidRDefault="00F60D62" w:rsidP="00F60D62">
            <w:pPr>
              <w:ind w:left="60"/>
              <w:rPr>
                <w:rFonts w:ascii="Arial" w:hAnsi="Arial" w:cs="Arial"/>
                <w:sz w:val="20"/>
                <w:szCs w:val="20"/>
              </w:rPr>
            </w:pPr>
            <w:r w:rsidRPr="00B27F8F">
              <w:rPr>
                <w:rFonts w:ascii="Arial" w:hAnsi="Arial" w:cs="Arial"/>
                <w:sz w:val="20"/>
                <w:szCs w:val="20"/>
              </w:rPr>
              <w:t>Linda Hymans</w:t>
            </w:r>
          </w:p>
          <w:p w:rsidR="00F60D62" w:rsidRPr="00B27F8F" w:rsidRDefault="00F60D62" w:rsidP="00F60D62">
            <w:pPr>
              <w:ind w:left="60"/>
              <w:rPr>
                <w:rFonts w:ascii="Arial" w:hAnsi="Arial" w:cs="Arial"/>
                <w:sz w:val="20"/>
                <w:szCs w:val="20"/>
              </w:rPr>
            </w:pPr>
            <w:r w:rsidRPr="00B27F8F">
              <w:rPr>
                <w:rFonts w:ascii="Arial" w:hAnsi="Arial" w:cs="Arial"/>
                <w:sz w:val="20"/>
                <w:szCs w:val="20"/>
              </w:rPr>
              <w:t>Cecilia McCabe</w:t>
            </w:r>
          </w:p>
          <w:p w:rsidR="00F60D62" w:rsidRPr="00B27F8F" w:rsidRDefault="00F60D62" w:rsidP="00F60D62">
            <w:pPr>
              <w:ind w:left="60"/>
              <w:rPr>
                <w:rFonts w:ascii="Arial" w:hAnsi="Arial" w:cs="Arial"/>
                <w:sz w:val="20"/>
                <w:szCs w:val="20"/>
              </w:rPr>
            </w:pPr>
            <w:r w:rsidRPr="00B27F8F">
              <w:rPr>
                <w:rFonts w:ascii="Arial" w:hAnsi="Arial" w:cs="Arial"/>
                <w:sz w:val="20"/>
                <w:szCs w:val="20"/>
              </w:rPr>
              <w:t>Amy Putnam</w:t>
            </w:r>
          </w:p>
          <w:p w:rsidR="00F60D62" w:rsidRPr="00B27F8F" w:rsidRDefault="00F60D62" w:rsidP="00F60D62">
            <w:pPr>
              <w:ind w:left="60"/>
              <w:rPr>
                <w:rFonts w:ascii="Arial" w:hAnsi="Arial" w:cs="Arial"/>
                <w:sz w:val="20"/>
                <w:szCs w:val="20"/>
              </w:rPr>
            </w:pPr>
            <w:r w:rsidRPr="00B27F8F">
              <w:rPr>
                <w:rFonts w:ascii="Arial" w:hAnsi="Arial" w:cs="Arial"/>
                <w:sz w:val="20"/>
                <w:szCs w:val="20"/>
              </w:rPr>
              <w:t>Shannon Sevigny</w:t>
            </w:r>
          </w:p>
          <w:p w:rsidR="00F60D62" w:rsidRPr="00B27F8F" w:rsidRDefault="00F60D62" w:rsidP="00F60D62">
            <w:pPr>
              <w:ind w:left="60"/>
              <w:rPr>
                <w:rFonts w:ascii="Arial" w:hAnsi="Arial" w:cs="Arial"/>
                <w:sz w:val="20"/>
                <w:szCs w:val="20"/>
              </w:rPr>
            </w:pPr>
            <w:r w:rsidRPr="00B27F8F">
              <w:rPr>
                <w:rFonts w:ascii="Arial" w:hAnsi="Arial" w:cs="Arial"/>
                <w:sz w:val="20"/>
                <w:szCs w:val="20"/>
              </w:rPr>
              <w:t>Florence Weber</w:t>
            </w:r>
          </w:p>
          <w:p w:rsidR="00AF11A1" w:rsidRPr="00BF4543" w:rsidRDefault="00AF11A1" w:rsidP="00F60D62">
            <w:pPr>
              <w:ind w:left="60"/>
              <w:rPr>
                <w:rFonts w:ascii="Arial" w:hAnsi="Arial" w:cs="Arial"/>
                <w:sz w:val="20"/>
                <w:szCs w:val="20"/>
              </w:rPr>
            </w:pPr>
            <w:r w:rsidRPr="00B27F8F">
              <w:rPr>
                <w:rFonts w:ascii="Arial" w:hAnsi="Arial" w:cs="Arial"/>
                <w:sz w:val="20"/>
                <w:szCs w:val="20"/>
              </w:rPr>
              <w:t>Gary Zahn</w:t>
            </w:r>
          </w:p>
          <w:p w:rsidR="00636120" w:rsidRPr="00BF4543" w:rsidRDefault="00636120" w:rsidP="00A04D15">
            <w:pPr>
              <w:ind w:left="60"/>
              <w:rPr>
                <w:rStyle w:val="Strong"/>
                <w:rFonts w:ascii="Arial" w:hAnsi="Arial" w:cs="Arial"/>
                <w:b w:val="0"/>
                <w:sz w:val="20"/>
                <w:szCs w:val="20"/>
              </w:rPr>
            </w:pPr>
          </w:p>
          <w:p w:rsidR="00BD5DA3" w:rsidRPr="00BF4543" w:rsidRDefault="00BD5DA3" w:rsidP="00A04D15">
            <w:pPr>
              <w:ind w:left="60"/>
              <w:rPr>
                <w:rStyle w:val="Strong"/>
                <w:rFonts w:ascii="Arial" w:hAnsi="Arial" w:cs="Arial"/>
                <w:b w:val="0"/>
                <w:sz w:val="20"/>
                <w:szCs w:val="20"/>
              </w:rPr>
            </w:pPr>
          </w:p>
          <w:p w:rsidR="00A84687" w:rsidRPr="00BF4543"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2702D9">
        <w:rPr>
          <w:rFonts w:ascii="Arial" w:hAnsi="Arial" w:cs="Arial"/>
          <w:b/>
          <w:sz w:val="20"/>
          <w:szCs w:val="20"/>
        </w:rPr>
        <w:t>October</w:t>
      </w:r>
      <w:r w:rsidR="002E593D">
        <w:rPr>
          <w:rFonts w:ascii="Arial" w:hAnsi="Arial" w:cs="Arial"/>
          <w:b/>
          <w:sz w:val="20"/>
          <w:szCs w:val="20"/>
        </w:rPr>
        <w:t>,</w:t>
      </w:r>
      <w:r w:rsidR="0004636E">
        <w:rPr>
          <w:rFonts w:ascii="Arial" w:hAnsi="Arial" w:cs="Arial"/>
          <w:b/>
          <w:sz w:val="20"/>
          <w:szCs w:val="20"/>
        </w:rPr>
        <w:t xml:space="preserve">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0E660B" w:rsidP="002F0F28">
            <w:pPr>
              <w:rPr>
                <w:rFonts w:ascii="Arial" w:hAnsi="Arial" w:cs="Arial"/>
                <w:sz w:val="20"/>
                <w:szCs w:val="20"/>
              </w:rPr>
            </w:pPr>
            <w:r>
              <w:rPr>
                <w:rFonts w:ascii="Arial" w:hAnsi="Arial" w:cs="Arial"/>
                <w:sz w:val="20"/>
                <w:szCs w:val="20"/>
              </w:rPr>
              <w:t>1,</w:t>
            </w:r>
            <w:r w:rsidR="002F0F28">
              <w:rPr>
                <w:rFonts w:ascii="Arial" w:hAnsi="Arial" w:cs="Arial"/>
                <w:sz w:val="20"/>
                <w:szCs w:val="20"/>
              </w:rPr>
              <w:t>43</w:t>
            </w:r>
            <w:r>
              <w:rPr>
                <w:rFonts w:ascii="Arial" w:hAnsi="Arial" w:cs="Arial"/>
                <w:sz w:val="20"/>
                <w:szCs w:val="20"/>
              </w:rPr>
              <w:t>5</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2F0F28" w:rsidP="006753C2">
            <w:pPr>
              <w:rPr>
                <w:rFonts w:ascii="Arial" w:hAnsi="Arial" w:cs="Arial"/>
                <w:sz w:val="20"/>
                <w:szCs w:val="20"/>
              </w:rPr>
            </w:pPr>
            <w:r>
              <w:rPr>
                <w:rFonts w:ascii="Arial" w:hAnsi="Arial" w:cs="Arial"/>
                <w:sz w:val="20"/>
                <w:szCs w:val="20"/>
              </w:rPr>
              <w:t>931</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2F0F28" w:rsidP="001A5E69">
            <w:pPr>
              <w:rPr>
                <w:rFonts w:ascii="Arial" w:hAnsi="Arial" w:cs="Arial"/>
                <w:sz w:val="20"/>
                <w:szCs w:val="20"/>
              </w:rPr>
            </w:pPr>
            <w:r>
              <w:rPr>
                <w:rFonts w:ascii="Arial" w:hAnsi="Arial" w:cs="Arial"/>
                <w:sz w:val="20"/>
                <w:szCs w:val="20"/>
              </w:rPr>
              <w:t>479</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2F0F28" w:rsidP="00F60D62">
            <w:pPr>
              <w:rPr>
                <w:rFonts w:ascii="Arial" w:hAnsi="Arial" w:cs="Arial"/>
                <w:sz w:val="20"/>
                <w:szCs w:val="20"/>
              </w:rPr>
            </w:pPr>
            <w:r>
              <w:rPr>
                <w:rFonts w:ascii="Arial" w:hAnsi="Arial" w:cs="Arial"/>
                <w:sz w:val="20"/>
                <w:szCs w:val="20"/>
              </w:rPr>
              <w:t>592</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2F0F28" w:rsidP="00322D4A">
            <w:pPr>
              <w:rPr>
                <w:rFonts w:ascii="Arial" w:hAnsi="Arial" w:cs="Arial"/>
                <w:sz w:val="20"/>
                <w:szCs w:val="20"/>
              </w:rPr>
            </w:pPr>
            <w:r>
              <w:rPr>
                <w:rFonts w:ascii="Arial" w:hAnsi="Arial" w:cs="Arial"/>
                <w:sz w:val="20"/>
                <w:szCs w:val="20"/>
              </w:rPr>
              <w:t>15,849</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2F0F28" w:rsidP="00E71FAE">
            <w:pPr>
              <w:rPr>
                <w:rFonts w:ascii="Arial" w:hAnsi="Arial" w:cs="Arial"/>
                <w:sz w:val="20"/>
                <w:szCs w:val="20"/>
              </w:rPr>
            </w:pPr>
            <w:r>
              <w:rPr>
                <w:rFonts w:ascii="Arial" w:hAnsi="Arial" w:cs="Arial"/>
                <w:sz w:val="20"/>
                <w:szCs w:val="20"/>
              </w:rPr>
              <w:t>776</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2F0F28" w:rsidP="00225869">
            <w:pPr>
              <w:rPr>
                <w:rFonts w:ascii="Arial" w:hAnsi="Arial" w:cs="Arial"/>
                <w:sz w:val="20"/>
                <w:szCs w:val="20"/>
              </w:rPr>
            </w:pPr>
            <w:r>
              <w:rPr>
                <w:rFonts w:ascii="Arial" w:hAnsi="Arial" w:cs="Arial"/>
                <w:sz w:val="20"/>
                <w:szCs w:val="20"/>
              </w:rPr>
              <w:t>98/340</w:t>
            </w:r>
          </w:p>
        </w:tc>
      </w:tr>
    </w:tbl>
    <w:p w:rsidR="004C256C" w:rsidRDefault="004C256C" w:rsidP="00BE00B0">
      <w:pPr>
        <w:rPr>
          <w:rFonts w:ascii="Arial" w:hAnsi="Arial" w:cs="Arial"/>
          <w:b/>
          <w:sz w:val="20"/>
          <w:szCs w:val="20"/>
        </w:rPr>
      </w:pPr>
    </w:p>
    <w:bookmarkStart w:id="3" w:name="_MON_1477987247"/>
    <w:bookmarkEnd w:id="3"/>
    <w:p w:rsidR="00D22809" w:rsidRPr="006C17F0" w:rsidRDefault="0090627B" w:rsidP="004C256C">
      <w:pPr>
        <w:ind w:left="-180"/>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12" ShapeID="_x0000_i1025" DrawAspect="Icon" ObjectID="_1484486766"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2F0F28" w:rsidRPr="006C17F0" w:rsidTr="00BE00B0">
        <w:tc>
          <w:tcPr>
            <w:tcW w:w="4518" w:type="dxa"/>
          </w:tcPr>
          <w:p w:rsidR="002F0F28" w:rsidRPr="006C17F0" w:rsidRDefault="002F0F28" w:rsidP="000205F3">
            <w:pPr>
              <w:rPr>
                <w:rFonts w:ascii="Arial" w:hAnsi="Arial" w:cs="Arial"/>
                <w:sz w:val="20"/>
                <w:szCs w:val="20"/>
              </w:rPr>
            </w:pPr>
            <w:r>
              <w:rPr>
                <w:rFonts w:ascii="Arial" w:hAnsi="Arial" w:cs="Arial"/>
                <w:sz w:val="20"/>
                <w:szCs w:val="20"/>
              </w:rPr>
              <w:t>November 2013</w:t>
            </w:r>
          </w:p>
        </w:tc>
        <w:tc>
          <w:tcPr>
            <w:tcW w:w="4338" w:type="dxa"/>
          </w:tcPr>
          <w:p w:rsidR="002F0F28" w:rsidRDefault="002F0F28" w:rsidP="000205F3">
            <w:pPr>
              <w:rPr>
                <w:rFonts w:ascii="Arial" w:hAnsi="Arial" w:cs="Arial"/>
                <w:sz w:val="20"/>
                <w:szCs w:val="20"/>
              </w:rPr>
            </w:pPr>
            <w:r>
              <w:rPr>
                <w:rFonts w:ascii="Arial" w:hAnsi="Arial" w:cs="Arial"/>
                <w:sz w:val="20"/>
                <w:szCs w:val="20"/>
              </w:rPr>
              <w:t>7,975</w:t>
            </w:r>
          </w:p>
        </w:tc>
      </w:tr>
      <w:tr w:rsidR="002F0F28" w:rsidRPr="006C17F0" w:rsidTr="00BE00B0">
        <w:tc>
          <w:tcPr>
            <w:tcW w:w="4518" w:type="dxa"/>
          </w:tcPr>
          <w:p w:rsidR="002F0F28" w:rsidRPr="006C17F0" w:rsidRDefault="002F0F28" w:rsidP="000205F3">
            <w:pPr>
              <w:rPr>
                <w:rFonts w:ascii="Arial" w:hAnsi="Arial" w:cs="Arial"/>
                <w:sz w:val="20"/>
                <w:szCs w:val="20"/>
              </w:rPr>
            </w:pPr>
            <w:r>
              <w:rPr>
                <w:rFonts w:ascii="Arial" w:hAnsi="Arial" w:cs="Arial"/>
                <w:sz w:val="20"/>
                <w:szCs w:val="20"/>
              </w:rPr>
              <w:t>December 2013</w:t>
            </w:r>
          </w:p>
        </w:tc>
        <w:tc>
          <w:tcPr>
            <w:tcW w:w="4338" w:type="dxa"/>
          </w:tcPr>
          <w:p w:rsidR="002F0F28" w:rsidRDefault="002F0F28" w:rsidP="000205F3">
            <w:pPr>
              <w:rPr>
                <w:rFonts w:ascii="Arial" w:hAnsi="Arial" w:cs="Arial"/>
                <w:sz w:val="20"/>
                <w:szCs w:val="20"/>
              </w:rPr>
            </w:pPr>
            <w:r>
              <w:rPr>
                <w:rFonts w:ascii="Arial" w:hAnsi="Arial" w:cs="Arial"/>
                <w:sz w:val="20"/>
                <w:szCs w:val="20"/>
              </w:rPr>
              <w:t>7,771</w:t>
            </w:r>
          </w:p>
        </w:tc>
      </w:tr>
      <w:tr w:rsidR="002F0F28" w:rsidRPr="006C17F0" w:rsidTr="00BE00B0">
        <w:tc>
          <w:tcPr>
            <w:tcW w:w="4518" w:type="dxa"/>
          </w:tcPr>
          <w:p w:rsidR="002F0F28" w:rsidRPr="006C17F0" w:rsidRDefault="002F0F28" w:rsidP="000205F3">
            <w:pPr>
              <w:rPr>
                <w:rFonts w:ascii="Arial" w:hAnsi="Arial" w:cs="Arial"/>
                <w:sz w:val="20"/>
                <w:szCs w:val="20"/>
              </w:rPr>
            </w:pPr>
            <w:r>
              <w:rPr>
                <w:rFonts w:ascii="Arial" w:hAnsi="Arial" w:cs="Arial"/>
                <w:sz w:val="20"/>
                <w:szCs w:val="20"/>
              </w:rPr>
              <w:t>January 2014</w:t>
            </w:r>
          </w:p>
        </w:tc>
        <w:tc>
          <w:tcPr>
            <w:tcW w:w="4338" w:type="dxa"/>
          </w:tcPr>
          <w:p w:rsidR="002F0F28" w:rsidRDefault="002F0F28" w:rsidP="000205F3">
            <w:pPr>
              <w:rPr>
                <w:rFonts w:ascii="Arial" w:hAnsi="Arial" w:cs="Arial"/>
                <w:sz w:val="20"/>
                <w:szCs w:val="20"/>
              </w:rPr>
            </w:pPr>
            <w:r>
              <w:rPr>
                <w:rFonts w:ascii="Arial" w:hAnsi="Arial" w:cs="Arial"/>
                <w:sz w:val="20"/>
                <w:szCs w:val="20"/>
              </w:rPr>
              <w:t>8,069</w:t>
            </w:r>
          </w:p>
        </w:tc>
      </w:tr>
      <w:tr w:rsidR="002F0F28" w:rsidRPr="006C17F0" w:rsidTr="00BE00B0">
        <w:tc>
          <w:tcPr>
            <w:tcW w:w="4518" w:type="dxa"/>
          </w:tcPr>
          <w:p w:rsidR="002F0F28" w:rsidRPr="006C17F0" w:rsidRDefault="002F0F28" w:rsidP="000205F3">
            <w:pPr>
              <w:rPr>
                <w:rFonts w:ascii="Arial" w:hAnsi="Arial" w:cs="Arial"/>
                <w:sz w:val="20"/>
                <w:szCs w:val="20"/>
              </w:rPr>
            </w:pPr>
            <w:r>
              <w:rPr>
                <w:rFonts w:ascii="Arial" w:hAnsi="Arial" w:cs="Arial"/>
                <w:sz w:val="20"/>
                <w:szCs w:val="20"/>
              </w:rPr>
              <w:t>February 2014</w:t>
            </w:r>
          </w:p>
        </w:tc>
        <w:tc>
          <w:tcPr>
            <w:tcW w:w="4338" w:type="dxa"/>
          </w:tcPr>
          <w:p w:rsidR="002F0F28" w:rsidRDefault="002F0F28" w:rsidP="000205F3">
            <w:pPr>
              <w:rPr>
                <w:rFonts w:ascii="Arial" w:hAnsi="Arial" w:cs="Arial"/>
                <w:sz w:val="20"/>
                <w:szCs w:val="20"/>
              </w:rPr>
            </w:pPr>
            <w:r>
              <w:rPr>
                <w:rFonts w:ascii="Arial" w:hAnsi="Arial" w:cs="Arial"/>
                <w:sz w:val="20"/>
                <w:szCs w:val="20"/>
              </w:rPr>
              <w:t>8,725</w:t>
            </w:r>
          </w:p>
        </w:tc>
      </w:tr>
      <w:tr w:rsidR="002F0F28" w:rsidRPr="006C17F0" w:rsidTr="00BE00B0">
        <w:trPr>
          <w:trHeight w:val="47"/>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March 2014</w:t>
            </w:r>
          </w:p>
        </w:tc>
        <w:tc>
          <w:tcPr>
            <w:tcW w:w="4338" w:type="dxa"/>
          </w:tcPr>
          <w:p w:rsidR="002F0F28" w:rsidRDefault="002F0F28" w:rsidP="000205F3">
            <w:pPr>
              <w:rPr>
                <w:rFonts w:ascii="Arial" w:hAnsi="Arial" w:cs="Arial"/>
                <w:sz w:val="20"/>
                <w:szCs w:val="20"/>
              </w:rPr>
            </w:pPr>
            <w:r>
              <w:rPr>
                <w:rFonts w:ascii="Arial" w:hAnsi="Arial" w:cs="Arial"/>
                <w:sz w:val="20"/>
                <w:szCs w:val="20"/>
              </w:rPr>
              <w:t>9,422</w:t>
            </w:r>
          </w:p>
        </w:tc>
      </w:tr>
      <w:tr w:rsidR="002F0F28" w:rsidRPr="006C17F0" w:rsidTr="00BE00B0">
        <w:trPr>
          <w:trHeight w:val="143"/>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April 2014</w:t>
            </w:r>
          </w:p>
        </w:tc>
        <w:tc>
          <w:tcPr>
            <w:tcW w:w="4338" w:type="dxa"/>
          </w:tcPr>
          <w:p w:rsidR="002F0F28" w:rsidRDefault="002F0F28" w:rsidP="000205F3">
            <w:pPr>
              <w:rPr>
                <w:rFonts w:ascii="Arial" w:hAnsi="Arial" w:cs="Arial"/>
                <w:sz w:val="20"/>
                <w:szCs w:val="20"/>
              </w:rPr>
            </w:pPr>
            <w:r>
              <w:rPr>
                <w:rFonts w:ascii="Arial" w:hAnsi="Arial" w:cs="Arial"/>
                <w:sz w:val="20"/>
                <w:szCs w:val="20"/>
              </w:rPr>
              <w:t>17,601</w:t>
            </w:r>
          </w:p>
        </w:tc>
      </w:tr>
      <w:tr w:rsidR="002F0F28" w:rsidRPr="006C17F0" w:rsidTr="00BE00B0">
        <w:trPr>
          <w:trHeight w:val="143"/>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May 2014</w:t>
            </w:r>
          </w:p>
        </w:tc>
        <w:tc>
          <w:tcPr>
            <w:tcW w:w="4338" w:type="dxa"/>
          </w:tcPr>
          <w:p w:rsidR="002F0F28" w:rsidRDefault="002F0F28" w:rsidP="000205F3">
            <w:pPr>
              <w:rPr>
                <w:rFonts w:ascii="Arial" w:hAnsi="Arial" w:cs="Arial"/>
                <w:sz w:val="20"/>
                <w:szCs w:val="20"/>
              </w:rPr>
            </w:pPr>
            <w:r>
              <w:rPr>
                <w:rFonts w:ascii="Arial" w:hAnsi="Arial" w:cs="Arial"/>
                <w:sz w:val="20"/>
                <w:szCs w:val="20"/>
              </w:rPr>
              <w:t>8,977</w:t>
            </w:r>
          </w:p>
        </w:tc>
      </w:tr>
      <w:tr w:rsidR="002F0F28" w:rsidRPr="006C17F0" w:rsidTr="00BE00B0">
        <w:trPr>
          <w:trHeight w:val="143"/>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June 2014</w:t>
            </w:r>
          </w:p>
        </w:tc>
        <w:tc>
          <w:tcPr>
            <w:tcW w:w="4338" w:type="dxa"/>
          </w:tcPr>
          <w:p w:rsidR="002F0F28" w:rsidRDefault="002F0F28" w:rsidP="000205F3">
            <w:pPr>
              <w:rPr>
                <w:rFonts w:ascii="Arial" w:hAnsi="Arial" w:cs="Arial"/>
                <w:sz w:val="20"/>
                <w:szCs w:val="20"/>
              </w:rPr>
            </w:pPr>
            <w:r>
              <w:rPr>
                <w:rFonts w:ascii="Arial" w:hAnsi="Arial" w:cs="Arial"/>
                <w:sz w:val="20"/>
                <w:szCs w:val="20"/>
              </w:rPr>
              <w:t>8,145</w:t>
            </w:r>
          </w:p>
        </w:tc>
      </w:tr>
      <w:tr w:rsidR="002F0F28" w:rsidRPr="006C17F0" w:rsidTr="00BE00B0">
        <w:trPr>
          <w:trHeight w:val="143"/>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July 2014</w:t>
            </w:r>
          </w:p>
        </w:tc>
        <w:tc>
          <w:tcPr>
            <w:tcW w:w="4338" w:type="dxa"/>
          </w:tcPr>
          <w:p w:rsidR="002F0F28" w:rsidRDefault="002F0F28" w:rsidP="000205F3">
            <w:pPr>
              <w:rPr>
                <w:rFonts w:ascii="Arial" w:hAnsi="Arial" w:cs="Arial"/>
                <w:sz w:val="20"/>
                <w:szCs w:val="20"/>
              </w:rPr>
            </w:pPr>
            <w:r>
              <w:rPr>
                <w:rFonts w:ascii="Arial" w:hAnsi="Arial" w:cs="Arial"/>
                <w:sz w:val="20"/>
                <w:szCs w:val="20"/>
              </w:rPr>
              <w:t>10,493</w:t>
            </w:r>
          </w:p>
        </w:tc>
      </w:tr>
      <w:tr w:rsidR="002F0F28" w:rsidRPr="006C17F0" w:rsidTr="00BE00B0">
        <w:trPr>
          <w:trHeight w:val="143"/>
        </w:trPr>
        <w:tc>
          <w:tcPr>
            <w:tcW w:w="4518" w:type="dxa"/>
          </w:tcPr>
          <w:p w:rsidR="002F0F28" w:rsidRPr="006C17F0" w:rsidRDefault="002F0F28" w:rsidP="000205F3">
            <w:pPr>
              <w:rPr>
                <w:rFonts w:ascii="Arial" w:hAnsi="Arial" w:cs="Arial"/>
                <w:sz w:val="20"/>
                <w:szCs w:val="20"/>
              </w:rPr>
            </w:pPr>
            <w:r>
              <w:rPr>
                <w:rFonts w:ascii="Arial" w:hAnsi="Arial" w:cs="Arial"/>
                <w:sz w:val="20"/>
                <w:szCs w:val="20"/>
              </w:rPr>
              <w:t>August 2014</w:t>
            </w:r>
          </w:p>
        </w:tc>
        <w:tc>
          <w:tcPr>
            <w:tcW w:w="4338" w:type="dxa"/>
          </w:tcPr>
          <w:p w:rsidR="002F0F28" w:rsidRDefault="002F0F28" w:rsidP="000205F3">
            <w:pPr>
              <w:rPr>
                <w:rFonts w:ascii="Arial" w:hAnsi="Arial" w:cs="Arial"/>
                <w:sz w:val="20"/>
                <w:szCs w:val="20"/>
              </w:rPr>
            </w:pPr>
            <w:r>
              <w:rPr>
                <w:rFonts w:ascii="Arial" w:hAnsi="Arial" w:cs="Arial"/>
                <w:sz w:val="20"/>
                <w:szCs w:val="20"/>
              </w:rPr>
              <w:t>15,232</w:t>
            </w:r>
          </w:p>
        </w:tc>
      </w:tr>
      <w:tr w:rsidR="002F0F28" w:rsidRPr="006C17F0" w:rsidTr="00BE00B0">
        <w:tc>
          <w:tcPr>
            <w:tcW w:w="4518" w:type="dxa"/>
          </w:tcPr>
          <w:p w:rsidR="002F0F28" w:rsidRPr="006C17F0" w:rsidRDefault="002F0F28" w:rsidP="000205F3">
            <w:pPr>
              <w:rPr>
                <w:rFonts w:ascii="Arial" w:hAnsi="Arial" w:cs="Arial"/>
                <w:sz w:val="20"/>
                <w:szCs w:val="20"/>
              </w:rPr>
            </w:pPr>
            <w:r>
              <w:rPr>
                <w:rFonts w:ascii="Arial" w:hAnsi="Arial" w:cs="Arial"/>
                <w:sz w:val="20"/>
                <w:szCs w:val="20"/>
              </w:rPr>
              <w:t>September 2014</w:t>
            </w:r>
          </w:p>
        </w:tc>
        <w:tc>
          <w:tcPr>
            <w:tcW w:w="4338" w:type="dxa"/>
          </w:tcPr>
          <w:p w:rsidR="002F0F28" w:rsidRDefault="002F0F28" w:rsidP="000205F3">
            <w:pPr>
              <w:rPr>
                <w:rFonts w:ascii="Arial" w:hAnsi="Arial" w:cs="Arial"/>
                <w:sz w:val="20"/>
                <w:szCs w:val="20"/>
              </w:rPr>
            </w:pPr>
            <w:r>
              <w:rPr>
                <w:rFonts w:ascii="Arial" w:hAnsi="Arial" w:cs="Arial"/>
                <w:sz w:val="20"/>
                <w:szCs w:val="20"/>
              </w:rPr>
              <w:t>12,113</w:t>
            </w:r>
          </w:p>
        </w:tc>
      </w:tr>
      <w:tr w:rsidR="00222500" w:rsidRPr="006C17F0" w:rsidTr="00BE00B0">
        <w:tc>
          <w:tcPr>
            <w:tcW w:w="4518" w:type="dxa"/>
          </w:tcPr>
          <w:p w:rsidR="00222500" w:rsidRPr="006C17F0" w:rsidRDefault="002F0F28" w:rsidP="00826A3D">
            <w:pPr>
              <w:rPr>
                <w:rFonts w:ascii="Arial" w:hAnsi="Arial" w:cs="Arial"/>
                <w:sz w:val="20"/>
                <w:szCs w:val="20"/>
              </w:rPr>
            </w:pPr>
            <w:r>
              <w:rPr>
                <w:rFonts w:ascii="Arial" w:hAnsi="Arial" w:cs="Arial"/>
                <w:sz w:val="20"/>
                <w:szCs w:val="20"/>
              </w:rPr>
              <w:t>October 2014</w:t>
            </w:r>
          </w:p>
        </w:tc>
        <w:tc>
          <w:tcPr>
            <w:tcW w:w="4338" w:type="dxa"/>
          </w:tcPr>
          <w:p w:rsidR="00222500" w:rsidRDefault="002F0F28" w:rsidP="00A466E0">
            <w:pPr>
              <w:rPr>
                <w:rFonts w:ascii="Arial" w:hAnsi="Arial" w:cs="Arial"/>
                <w:sz w:val="20"/>
                <w:szCs w:val="20"/>
              </w:rPr>
            </w:pPr>
            <w:r>
              <w:rPr>
                <w:rFonts w:ascii="Arial" w:hAnsi="Arial" w:cs="Arial"/>
                <w:sz w:val="20"/>
                <w:szCs w:val="20"/>
              </w:rPr>
              <w:t>15,849</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4C256C">
      <w:pPr>
        <w:pStyle w:val="ListParagraph"/>
        <w:numPr>
          <w:ilvl w:val="0"/>
          <w:numId w:val="38"/>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467D53" w:rsidRPr="003C310A" w:rsidRDefault="00C87A51" w:rsidP="004C256C">
      <w:pPr>
        <w:pStyle w:val="ListParagraph"/>
        <w:numPr>
          <w:ilvl w:val="0"/>
          <w:numId w:val="3"/>
        </w:numPr>
        <w:rPr>
          <w:rFonts w:ascii="Arial" w:hAnsi="Arial" w:cs="Arial"/>
          <w:sz w:val="20"/>
          <w:szCs w:val="20"/>
        </w:rPr>
      </w:pPr>
      <w:bookmarkStart w:id="6" w:name="OLE_LINK5"/>
      <w:bookmarkStart w:id="7" w:name="OLE_LINK6"/>
      <w:r>
        <w:t>NANC meeting is scheduled for December 9</w:t>
      </w:r>
      <w:r w:rsidRPr="00C87A51">
        <w:rPr>
          <w:vertAlign w:val="superscript"/>
        </w:rPr>
        <w:t>th</w:t>
      </w:r>
    </w:p>
    <w:p w:rsidR="003C310A" w:rsidRDefault="003C310A"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INC read out (initial closure and new issues)</w:t>
      </w:r>
    </w:p>
    <w:p w:rsidR="005B0D9B" w:rsidRDefault="00C87A51" w:rsidP="00C87A51">
      <w:pPr>
        <w:pStyle w:val="ListParagraph"/>
        <w:numPr>
          <w:ilvl w:val="0"/>
          <w:numId w:val="3"/>
        </w:numPr>
        <w:spacing w:before="120" w:after="120"/>
      </w:pPr>
      <w:bookmarkStart w:id="8" w:name="_Toc314561455"/>
      <w:bookmarkEnd w:id="6"/>
      <w:bookmarkEnd w:id="7"/>
      <w:r>
        <w:t>No INC activities for October</w:t>
      </w:r>
    </w:p>
    <w:p w:rsidR="0070682C" w:rsidRDefault="0070682C"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C87A51" w:rsidP="0036641D">
            <w:pPr>
              <w:jc w:val="right"/>
              <w:rPr>
                <w:rFonts w:ascii="Arial" w:eastAsia="Calibri" w:hAnsi="Arial" w:cs="Arial"/>
                <w:sz w:val="20"/>
                <w:szCs w:val="20"/>
              </w:rPr>
            </w:pPr>
            <w:r>
              <w:rPr>
                <w:rFonts w:ascii="Arial" w:eastAsia="Calibri" w:hAnsi="Arial" w:cs="Arial"/>
                <w:sz w:val="20"/>
                <w:szCs w:val="20"/>
              </w:rPr>
              <w:t>646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837BC6"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227</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342</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64</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C87A51" w:rsidP="0004636E">
            <w:pPr>
              <w:jc w:val="right"/>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C87A51" w:rsidP="007F5551">
            <w:pPr>
              <w:jc w:val="right"/>
              <w:rPr>
                <w:rFonts w:ascii="Arial" w:eastAsia="Calibri" w:hAnsi="Arial" w:cs="Arial"/>
                <w:sz w:val="20"/>
                <w:szCs w:val="20"/>
              </w:rPr>
            </w:pPr>
            <w:r>
              <w:rPr>
                <w:rFonts w:ascii="Arial" w:eastAsia="Calibri" w:hAnsi="Arial" w:cs="Arial"/>
                <w:sz w:val="20"/>
                <w:szCs w:val="20"/>
              </w:rPr>
              <w:t>13</w:t>
            </w:r>
          </w:p>
        </w:tc>
      </w:tr>
    </w:tbl>
    <w:p w:rsidR="009F2659" w:rsidRDefault="009F2659" w:rsidP="004E7715">
      <w:pPr>
        <w:pStyle w:val="ListParagraph"/>
        <w:rPr>
          <w:rFonts w:ascii="Arial" w:hAnsi="Arial" w:cs="Arial"/>
          <w:sz w:val="20"/>
          <w:szCs w:val="20"/>
        </w:rPr>
      </w:pPr>
    </w:p>
    <w:p w:rsidR="00B87424" w:rsidRDefault="00C87A51" w:rsidP="00C87A51">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October Quarterly p-ANI Tip was RNAS Passwords</w:t>
      </w:r>
    </w:p>
    <w:p w:rsidR="00A82A23" w:rsidRPr="00C87A51" w:rsidRDefault="00B27F8F" w:rsidP="00A82A23">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The tip</w:t>
      </w:r>
      <w:r w:rsidR="00A82A23">
        <w:rPr>
          <w:rFonts w:ascii="Arial" w:hAnsi="Arial" w:cs="Arial"/>
          <w:sz w:val="20"/>
          <w:szCs w:val="20"/>
        </w:rPr>
        <w:t xml:space="preserve"> reminded RNAS users that they can reset their passwords at any time through the website</w:t>
      </w: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812788" w:rsidRPr="00812788" w:rsidRDefault="00812788" w:rsidP="00812788">
      <w:pPr>
        <w:rPr>
          <w:lang w:eastAsia="x-none"/>
        </w:rPr>
      </w:pPr>
      <w:bookmarkStart w:id="11" w:name="_Toc314561457"/>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C87A51" w:rsidP="00384E6A">
      <w:pPr>
        <w:ind w:left="360"/>
        <w:rPr>
          <w:rFonts w:ascii="Arial" w:hAnsi="Arial" w:cs="Arial"/>
          <w:sz w:val="20"/>
          <w:szCs w:val="20"/>
        </w:rPr>
      </w:pPr>
      <w:r>
        <w:rPr>
          <w:rFonts w:ascii="Arial" w:hAnsi="Arial" w:cs="Arial"/>
          <w:sz w:val="20"/>
          <w:szCs w:val="20"/>
        </w:rPr>
        <w:t>October</w:t>
      </w:r>
      <w:r w:rsidR="00B87424">
        <w:rPr>
          <w:rFonts w:ascii="Arial" w:hAnsi="Arial" w:cs="Arial"/>
          <w:sz w:val="20"/>
          <w:szCs w:val="20"/>
        </w:rPr>
        <w:t xml:space="preserve"> </w:t>
      </w:r>
      <w:r w:rsidR="00201DFC">
        <w:rPr>
          <w:rFonts w:ascii="Arial" w:hAnsi="Arial" w:cs="Arial"/>
          <w:sz w:val="20"/>
          <w:szCs w:val="20"/>
        </w:rPr>
        <w:t xml:space="preserve">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54</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36641D">
        <w:rPr>
          <w:rFonts w:ascii="Arial" w:hAnsi="Arial" w:cs="Arial"/>
          <w:sz w:val="20"/>
          <w:szCs w:val="20"/>
        </w:rPr>
        <w:t xml:space="preserve"> </w:t>
      </w:r>
      <w:r>
        <w:rPr>
          <w:rFonts w:ascii="Arial" w:hAnsi="Arial" w:cs="Arial"/>
          <w:sz w:val="20"/>
          <w:szCs w:val="20"/>
        </w:rPr>
        <w:t>7</w:t>
      </w:r>
      <w:r w:rsidR="009F2659" w:rsidRPr="006C17F0">
        <w:rPr>
          <w:rFonts w:ascii="Arial" w:hAnsi="Arial" w:cs="Arial"/>
          <w:sz w:val="20"/>
          <w:szCs w:val="20"/>
        </w:rPr>
        <w:t xml:space="preserve"> NPAs and </w:t>
      </w:r>
      <w:r>
        <w:rPr>
          <w:rFonts w:ascii="Arial" w:hAnsi="Arial" w:cs="Arial"/>
          <w:sz w:val="20"/>
          <w:szCs w:val="20"/>
        </w:rPr>
        <w:t>4</w:t>
      </w:r>
      <w:r w:rsidR="00812788">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0C7BCF">
        <w:t>5</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lastRenderedPageBreak/>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C87A51">
        <w:t>45</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C87A51">
        <w:t>4</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C214D7" w:rsidRDefault="00C87A51"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There were no NANPA relief meetings in October</w:t>
      </w:r>
    </w:p>
    <w:p w:rsidR="00C214D7" w:rsidRPr="00C214D7" w:rsidRDefault="00C214D7"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667AF3" w:rsidRPr="00086F96" w:rsidRDefault="00C87A51" w:rsidP="00E20F1B">
      <w:pPr>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sz w:val="20"/>
          <w:szCs w:val="20"/>
        </w:rPr>
        <w:t>NANPA did not request any pooling data in October</w:t>
      </w:r>
    </w:p>
    <w:p w:rsidR="00E20F1B" w:rsidRPr="00BA43B4" w:rsidRDefault="00E20F1B" w:rsidP="00E20F1B">
      <w:pPr>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2B61CF" w:rsidRDefault="00C87A51" w:rsidP="00C87A51">
      <w:pPr>
        <w:pStyle w:val="ListParagraph"/>
        <w:numPr>
          <w:ilvl w:val="0"/>
          <w:numId w:val="4"/>
        </w:numPr>
        <w:tabs>
          <w:tab w:val="clear" w:pos="1080"/>
          <w:tab w:val="num" w:pos="990"/>
        </w:tabs>
        <w:ind w:left="360"/>
        <w:rPr>
          <w:rFonts w:ascii="Arial" w:hAnsi="Arial" w:cs="Arial"/>
          <w:bCs/>
          <w:kern w:val="32"/>
          <w:sz w:val="20"/>
          <w:szCs w:val="20"/>
        </w:rPr>
      </w:pPr>
      <w:r w:rsidRPr="00C87A51">
        <w:rPr>
          <w:rFonts w:ascii="Arial" w:hAnsi="Arial" w:cs="Arial"/>
          <w:bCs/>
          <w:kern w:val="32"/>
          <w:sz w:val="20"/>
          <w:szCs w:val="20"/>
        </w:rPr>
        <w:t>CA 415/628 Overlay Issue</w:t>
      </w:r>
      <w:r w:rsidR="000C6502">
        <w:rPr>
          <w:rFonts w:ascii="Arial" w:hAnsi="Arial" w:cs="Arial"/>
          <w:bCs/>
          <w:kern w:val="32"/>
          <w:sz w:val="20"/>
          <w:szCs w:val="20"/>
        </w:rPr>
        <w:t xml:space="preserve"> – PA did receive a safety valve </w:t>
      </w:r>
      <w:r w:rsidR="00B27F8F">
        <w:rPr>
          <w:rFonts w:ascii="Arial" w:hAnsi="Arial" w:cs="Arial"/>
          <w:bCs/>
          <w:kern w:val="32"/>
          <w:sz w:val="20"/>
          <w:szCs w:val="20"/>
        </w:rPr>
        <w:t>authorization f</w:t>
      </w:r>
      <w:r w:rsidR="000C6502">
        <w:rPr>
          <w:rFonts w:ascii="Arial" w:hAnsi="Arial" w:cs="Arial"/>
          <w:bCs/>
          <w:kern w:val="32"/>
          <w:sz w:val="20"/>
          <w:szCs w:val="20"/>
        </w:rPr>
        <w:t>rom the CPUC to replenish the pool if the rate center did not have any blocks that qualify and the center did not need to be replenished.</w:t>
      </w:r>
    </w:p>
    <w:p w:rsidR="00C87A51" w:rsidRPr="00C87A51" w:rsidRDefault="00C87A51" w:rsidP="00C87A51">
      <w:pPr>
        <w:pStyle w:val="ListParagraph"/>
        <w:numPr>
          <w:ilvl w:val="0"/>
          <w:numId w:val="4"/>
        </w:numPr>
        <w:tabs>
          <w:tab w:val="clear" w:pos="1080"/>
          <w:tab w:val="num" w:pos="990"/>
        </w:tabs>
        <w:ind w:left="360"/>
        <w:rPr>
          <w:rFonts w:ascii="Arial" w:hAnsi="Arial" w:cs="Arial"/>
          <w:bCs/>
          <w:kern w:val="32"/>
          <w:sz w:val="20"/>
          <w:szCs w:val="20"/>
        </w:rPr>
      </w:pPr>
      <w:r>
        <w:rPr>
          <w:rFonts w:ascii="Arial" w:hAnsi="Arial" w:cs="Arial"/>
          <w:bCs/>
          <w:kern w:val="32"/>
          <w:sz w:val="20"/>
          <w:szCs w:val="20"/>
        </w:rPr>
        <w:t>Joint NANPA/PA state calls held on 10/23/14</w:t>
      </w:r>
      <w:r w:rsidR="000C6502">
        <w:rPr>
          <w:rFonts w:ascii="Arial" w:hAnsi="Arial" w:cs="Arial"/>
          <w:bCs/>
          <w:kern w:val="32"/>
          <w:sz w:val="20"/>
          <w:szCs w:val="20"/>
        </w:rPr>
        <w:t xml:space="preserve"> – approximately 17 people from the states attended and there were no major issues</w:t>
      </w:r>
      <w:r w:rsidR="00B27F8F">
        <w:rPr>
          <w:rFonts w:ascii="Arial" w:hAnsi="Arial" w:cs="Arial"/>
          <w:bCs/>
          <w:kern w:val="32"/>
          <w:sz w:val="20"/>
          <w:szCs w:val="20"/>
        </w:rPr>
        <w:t xml:space="preserve"> discussed.</w:t>
      </w:r>
    </w:p>
    <w:p w:rsidR="00C87A51" w:rsidRPr="009D217B" w:rsidRDefault="00C87A51" w:rsidP="009D217B">
      <w:pPr>
        <w:rPr>
          <w:rFonts w:ascii="Arial" w:hAnsi="Arial" w:cs="Arial"/>
          <w:b/>
          <w:bCs/>
          <w:kern w:val="32"/>
          <w:sz w:val="20"/>
          <w:szCs w:val="20"/>
          <w:u w:val="single"/>
        </w:rPr>
      </w:pPr>
    </w:p>
    <w:p w:rsidR="00E11D4F" w:rsidRPr="002B61CF" w:rsidRDefault="00E11D4F" w:rsidP="002B61CF">
      <w:pPr>
        <w:pStyle w:val="ListParagraph"/>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Send courtesy email to applicant requesting documentation or correct documentation.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 PSAP notified us that a p-ANI range for their PSAP was showing an incorrect selective router CLLI and that the PSAP was experiencing issues with incoming 911 VoIP calls.</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We contacted the carrier on record to submit a modification to correct the CLLI and to also contact the PSAP regarding their issue. Follow up, most issues were resolved, still work in progress.</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After the notification from the PSAP, we ran a preliminary report and identified S/R CLLIs that appeared to be incorrect, e.g. leading spaces, initially reported as X's.</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We sent a list of those p-ANIs to the affected carriers requesting the carrier to update the CLLI using the mass modify spreadsheet provided and to return to the RNA in order to update our records. </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Received an inquiry from a SPC user regarding a need for p-ANIs for one of their customers.</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Worked with the SPC user and their carrier on which NENA ID and OCN should be used for the request and which type of documentation needs to be provided to support the request.</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Received a request from a SPC for all their customer's assigned p-ANI ranges in RNAS. </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Provided the report to the carrier, which saved the carrier time from having to pull the report for each individual state. </w:t>
            </w:r>
          </w:p>
        </w:tc>
      </w:tr>
      <w:tr w:rsidR="003D5B03"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Received an inquiry from a state who was seeking documentation regarding a request from a VPC provider looking to apply for a waiver for p-ANIs where they did not have certification in that state. </w:t>
            </w:r>
          </w:p>
        </w:tc>
        <w:tc>
          <w:tcPr>
            <w:tcW w:w="4770" w:type="dxa"/>
            <w:tcBorders>
              <w:top w:val="single" w:sz="4" w:space="0" w:color="auto"/>
              <w:left w:val="nil"/>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We informed the state that there is a process in place for that VPC provider, as a result of FCC Order (FCC 13-51), and we provided that information to the state. </w:t>
            </w:r>
          </w:p>
        </w:tc>
      </w:tr>
    </w:tbl>
    <w:p w:rsidR="009E04FE" w:rsidRDefault="009E04FE"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3D5B03" w:rsidRDefault="003D5B03" w:rsidP="009E04FE">
      <w:pPr>
        <w:rPr>
          <w:rFonts w:ascii="Arial" w:hAnsi="Arial" w:cs="Arial"/>
          <w:b/>
          <w:bCs/>
          <w:kern w:val="32"/>
          <w:sz w:val="20"/>
          <w:szCs w:val="20"/>
        </w:rPr>
      </w:pPr>
    </w:p>
    <w:p w:rsidR="00CE3929" w:rsidRDefault="00CE3929"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3D5B03"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 state commission staff person asked how to avoid opening a code in a rural rate center to replenish the pool.</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Advised the state commission staff person that there were no blocks in the pool so the only other alternative was to seek donations from other SPs in the rate center.  </w:t>
            </w:r>
          </w:p>
        </w:tc>
      </w:tr>
      <w:tr w:rsidR="003D5B03"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 state commission staff person requested a report on the number of blocks assigned to a SP.</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We provided a report and educated the staff person on how to download the Total Numbering Resources Report.</w:t>
            </w:r>
          </w:p>
        </w:tc>
      </w:tr>
      <w:tr w:rsidR="003D5B03"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 state commission staff person sought information on how a code request that had been suspended could have been assigned.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We educated the staff person on how a code request is suspended when sent to NANPA and other general application processing information.</w:t>
            </w:r>
          </w:p>
        </w:tc>
      </w:tr>
      <w:tr w:rsidR="003D5B03"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There was an issue with pool replenishment in the 415/628 overlay because unusable available blocks from the new NPA were causing other SPs not to be able to get blocks to use now.</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We worked with the state commission staff to find a solution and suggested the granting of a state waiver to the PA to override the MTE and utilization which would permit a code to be opened even though there were available (but not until March 2015) blocks in the pool.</w:t>
            </w:r>
          </w:p>
        </w:tc>
      </w:tr>
      <w:tr w:rsidR="003D5B03"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A state commission staff person asked why a block donation had not been accepted in PAS so another SP could use it.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D5B03" w:rsidRPr="003D5B03" w:rsidRDefault="003D5B03" w:rsidP="006E2FA8">
            <w:pPr>
              <w:rPr>
                <w:rFonts w:ascii="Arial" w:hAnsi="Arial" w:cs="Arial"/>
                <w:sz w:val="20"/>
                <w:szCs w:val="20"/>
              </w:rPr>
            </w:pPr>
            <w:r w:rsidRPr="003D5B03">
              <w:rPr>
                <w:rFonts w:ascii="Arial" w:hAnsi="Arial" w:cs="Arial"/>
                <w:sz w:val="20"/>
                <w:szCs w:val="20"/>
              </w:rPr>
              <w:t xml:space="preserve">We expedited the donation approval.  </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872E20" w:rsidRDefault="00CA2AA7" w:rsidP="00872E20">
      <w:pPr>
        <w:pStyle w:val="ListParagraph"/>
        <w:numPr>
          <w:ilvl w:val="0"/>
          <w:numId w:val="4"/>
        </w:numPr>
        <w:tabs>
          <w:tab w:val="clear" w:pos="1080"/>
          <w:tab w:val="left" w:pos="360"/>
          <w:tab w:val="num" w:pos="720"/>
        </w:tabs>
        <w:ind w:left="360"/>
        <w:rPr>
          <w:lang w:eastAsia="x-none"/>
        </w:rPr>
      </w:pPr>
      <w:r>
        <w:rPr>
          <w:lang w:eastAsia="x-none"/>
        </w:rPr>
        <w:t>There was one trouble ticket opened and closed in October related to an issue with the timing of receiving the red light report.  This resulted in two requests being denied.</w:t>
      </w:r>
      <w:r w:rsidR="0090627B">
        <w:rPr>
          <w:lang w:eastAsia="x-none"/>
        </w:rPr>
        <w:t xml:space="preserve">  Changes have been made to when the PA receives the file so that </w:t>
      </w:r>
      <w:r w:rsidR="00B27F8F">
        <w:rPr>
          <w:lang w:eastAsia="x-none"/>
        </w:rPr>
        <w:t>it is received at</w:t>
      </w:r>
      <w:r w:rsidR="0090627B">
        <w:rPr>
          <w:lang w:eastAsia="x-none"/>
        </w:rPr>
        <w:t xml:space="preserve"> approximately the same time as the NANPA receives the red light file.</w:t>
      </w:r>
    </w:p>
    <w:p w:rsidR="00872E20" w:rsidRDefault="00872E20" w:rsidP="00872E20">
      <w:pPr>
        <w:pStyle w:val="ListParagraph"/>
        <w:tabs>
          <w:tab w:val="left" w:pos="360"/>
        </w:tabs>
        <w:ind w:left="360"/>
        <w:rPr>
          <w:lang w:eastAsia="x-none"/>
        </w:rPr>
      </w:pPr>
    </w:p>
    <w:p w:rsidR="003715A3" w:rsidRDefault="00CA2AA7" w:rsidP="003715A3">
      <w:pPr>
        <w:rPr>
          <w:lang w:eastAsia="x-none"/>
        </w:rPr>
      </w:pPr>
      <w:r>
        <w:rPr>
          <w:lang w:eastAsia="x-none"/>
        </w:rPr>
        <w:object w:dxaOrig="1531" w:dyaOrig="990">
          <v:shape id="_x0000_i1026" type="#_x0000_t75" style="width:76.75pt;height:49.6pt" o:ole="">
            <v:imagedata r:id="rId10" o:title=""/>
          </v:shape>
          <o:OLEObject Type="Embed" ProgID="Excel.Sheet.12" ShapeID="_x0000_i1026" DrawAspect="Icon" ObjectID="_1484486767" r:id="rId11"/>
        </w:object>
      </w:r>
    </w:p>
    <w:bookmarkEnd w:id="13"/>
    <w:p w:rsidR="00C84A68" w:rsidRDefault="00DF795F" w:rsidP="00C84A68">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B75DAB" w:rsidRPr="001A6445" w:rsidRDefault="001A6445" w:rsidP="00CA2AA7">
      <w:pPr>
        <w:pStyle w:val="ListParagraph"/>
        <w:numPr>
          <w:ilvl w:val="0"/>
          <w:numId w:val="4"/>
        </w:numPr>
        <w:tabs>
          <w:tab w:val="clear" w:pos="1080"/>
        </w:tabs>
        <w:ind w:left="360"/>
        <w:rPr>
          <w:rFonts w:ascii="Arial" w:hAnsi="Arial" w:cs="Arial"/>
          <w:b/>
          <w:color w:val="000000"/>
          <w:sz w:val="20"/>
          <w:szCs w:val="20"/>
          <w:u w:val="single"/>
        </w:rPr>
      </w:pPr>
      <w:r>
        <w:rPr>
          <w:rFonts w:ascii="Arial" w:hAnsi="Arial" w:cs="Arial"/>
          <w:color w:val="000000"/>
          <w:sz w:val="20"/>
          <w:szCs w:val="20"/>
        </w:rPr>
        <w:t xml:space="preserve">2015 PA/NOWG </w:t>
      </w:r>
      <w:r w:rsidR="00B27F8F">
        <w:rPr>
          <w:rFonts w:ascii="Arial" w:hAnsi="Arial" w:cs="Arial"/>
          <w:color w:val="000000"/>
          <w:sz w:val="20"/>
          <w:szCs w:val="20"/>
        </w:rPr>
        <w:t>meeting dates have been finalzed</w:t>
      </w:r>
    </w:p>
    <w:p w:rsidR="001A6445" w:rsidRPr="001A6445" w:rsidRDefault="00B27F8F" w:rsidP="00CA2AA7">
      <w:pPr>
        <w:pStyle w:val="ListParagraph"/>
        <w:numPr>
          <w:ilvl w:val="0"/>
          <w:numId w:val="4"/>
        </w:numPr>
        <w:tabs>
          <w:tab w:val="clear" w:pos="1080"/>
        </w:tabs>
        <w:ind w:left="360"/>
        <w:rPr>
          <w:rFonts w:ascii="Arial" w:hAnsi="Arial" w:cs="Arial"/>
          <w:b/>
          <w:color w:val="000000"/>
          <w:sz w:val="20"/>
          <w:szCs w:val="20"/>
          <w:u w:val="single"/>
        </w:rPr>
      </w:pPr>
      <w:r>
        <w:rPr>
          <w:rFonts w:ascii="Arial" w:hAnsi="Arial" w:cs="Arial"/>
          <w:color w:val="000000"/>
          <w:sz w:val="20"/>
          <w:szCs w:val="20"/>
        </w:rPr>
        <w:t xml:space="preserve">There was </w:t>
      </w:r>
      <w:r w:rsidR="001A6445">
        <w:rPr>
          <w:rFonts w:ascii="Arial" w:hAnsi="Arial" w:cs="Arial"/>
          <w:color w:val="000000"/>
          <w:sz w:val="20"/>
          <w:szCs w:val="20"/>
        </w:rPr>
        <w:t xml:space="preserve">1 email </w:t>
      </w:r>
      <w:r>
        <w:rPr>
          <w:rFonts w:ascii="Arial" w:hAnsi="Arial" w:cs="Arial"/>
          <w:color w:val="000000"/>
          <w:sz w:val="20"/>
          <w:szCs w:val="20"/>
        </w:rPr>
        <w:t xml:space="preserve">that was </w:t>
      </w:r>
      <w:r w:rsidR="001A6445">
        <w:rPr>
          <w:rFonts w:ascii="Arial" w:hAnsi="Arial" w:cs="Arial"/>
          <w:color w:val="000000"/>
          <w:sz w:val="20"/>
          <w:szCs w:val="20"/>
        </w:rPr>
        <w:t>not responded to with</w:t>
      </w:r>
      <w:r>
        <w:rPr>
          <w:rFonts w:ascii="Arial" w:hAnsi="Arial" w:cs="Arial"/>
          <w:color w:val="000000"/>
          <w:sz w:val="20"/>
          <w:szCs w:val="20"/>
        </w:rPr>
        <w:t>in</w:t>
      </w:r>
      <w:r w:rsidR="001A6445">
        <w:rPr>
          <w:rFonts w:ascii="Arial" w:hAnsi="Arial" w:cs="Arial"/>
          <w:color w:val="000000"/>
          <w:sz w:val="20"/>
          <w:szCs w:val="20"/>
        </w:rPr>
        <w:t xml:space="preserve"> 24 hours</w:t>
      </w:r>
      <w:r w:rsidR="0090627B">
        <w:rPr>
          <w:rFonts w:ascii="Arial" w:hAnsi="Arial" w:cs="Arial"/>
          <w:color w:val="000000"/>
          <w:sz w:val="20"/>
          <w:szCs w:val="20"/>
        </w:rPr>
        <w:t xml:space="preserve"> – </w:t>
      </w:r>
      <w:r>
        <w:rPr>
          <w:rFonts w:ascii="Arial" w:hAnsi="Arial" w:cs="Arial"/>
          <w:color w:val="000000"/>
          <w:sz w:val="20"/>
          <w:szCs w:val="20"/>
        </w:rPr>
        <w:t xml:space="preserve">the PA noted </w:t>
      </w:r>
      <w:r w:rsidR="00F85AE0">
        <w:rPr>
          <w:rFonts w:ascii="Arial" w:hAnsi="Arial" w:cs="Arial"/>
          <w:color w:val="000000"/>
          <w:sz w:val="20"/>
          <w:szCs w:val="20"/>
        </w:rPr>
        <w:t xml:space="preserve">they are not obligated to report this type of miss, </w:t>
      </w:r>
      <w:r w:rsidR="0090627B">
        <w:rPr>
          <w:rFonts w:ascii="Arial" w:hAnsi="Arial" w:cs="Arial"/>
          <w:color w:val="000000"/>
          <w:sz w:val="20"/>
          <w:szCs w:val="20"/>
        </w:rPr>
        <w:t xml:space="preserve"> but did want to let the NOWG know of this.</w:t>
      </w:r>
    </w:p>
    <w:p w:rsidR="001A6445" w:rsidRPr="001A6445" w:rsidRDefault="006B3139" w:rsidP="00CA2AA7">
      <w:pPr>
        <w:pStyle w:val="ListParagraph"/>
        <w:numPr>
          <w:ilvl w:val="0"/>
          <w:numId w:val="4"/>
        </w:numPr>
        <w:tabs>
          <w:tab w:val="clear" w:pos="1080"/>
        </w:tabs>
        <w:ind w:left="360"/>
        <w:rPr>
          <w:rFonts w:ascii="Arial" w:hAnsi="Arial" w:cs="Arial"/>
          <w:b/>
          <w:color w:val="000000"/>
          <w:sz w:val="20"/>
          <w:szCs w:val="20"/>
          <w:u w:val="single"/>
        </w:rPr>
      </w:pPr>
      <w:r>
        <w:rPr>
          <w:rFonts w:ascii="Arial" w:hAnsi="Arial" w:cs="Arial"/>
          <w:color w:val="000000"/>
          <w:sz w:val="20"/>
          <w:szCs w:val="20"/>
        </w:rPr>
        <w:t xml:space="preserve">The PA will be holding </w:t>
      </w:r>
      <w:r w:rsidR="001A6445">
        <w:rPr>
          <w:rFonts w:ascii="Arial" w:hAnsi="Arial" w:cs="Arial"/>
          <w:color w:val="000000"/>
          <w:sz w:val="20"/>
          <w:szCs w:val="20"/>
        </w:rPr>
        <w:t xml:space="preserve">PAS training </w:t>
      </w:r>
      <w:r w:rsidR="00F85AE0">
        <w:rPr>
          <w:rFonts w:ascii="Arial" w:hAnsi="Arial" w:cs="Arial"/>
          <w:color w:val="000000"/>
          <w:sz w:val="20"/>
          <w:szCs w:val="20"/>
        </w:rPr>
        <w:t>on</w:t>
      </w:r>
      <w:r w:rsidR="001A6445">
        <w:rPr>
          <w:rFonts w:ascii="Arial" w:hAnsi="Arial" w:cs="Arial"/>
          <w:color w:val="000000"/>
          <w:sz w:val="20"/>
          <w:szCs w:val="20"/>
        </w:rPr>
        <w:t xml:space="preserve"> January 7 and 8</w:t>
      </w:r>
      <w:r>
        <w:rPr>
          <w:rFonts w:ascii="Arial" w:hAnsi="Arial" w:cs="Arial"/>
          <w:color w:val="000000"/>
          <w:sz w:val="20"/>
          <w:szCs w:val="20"/>
        </w:rPr>
        <w:t xml:space="preserve"> </w:t>
      </w:r>
      <w:r w:rsidR="0090627B">
        <w:rPr>
          <w:rFonts w:ascii="Arial" w:hAnsi="Arial" w:cs="Arial"/>
          <w:color w:val="000000"/>
          <w:sz w:val="20"/>
          <w:szCs w:val="20"/>
        </w:rPr>
        <w:t xml:space="preserve"> in preparation for the </w:t>
      </w:r>
      <w:r>
        <w:rPr>
          <w:rFonts w:ascii="Arial" w:hAnsi="Arial" w:cs="Arial"/>
          <w:color w:val="000000"/>
          <w:sz w:val="20"/>
          <w:szCs w:val="20"/>
        </w:rPr>
        <w:t>launch of the new</w:t>
      </w:r>
      <w:r w:rsidR="0090627B">
        <w:rPr>
          <w:rFonts w:ascii="Arial" w:hAnsi="Arial" w:cs="Arial"/>
          <w:color w:val="000000"/>
          <w:sz w:val="20"/>
          <w:szCs w:val="20"/>
        </w:rPr>
        <w:t xml:space="preserve"> PAS on 1/10/15</w:t>
      </w:r>
      <w:r>
        <w:rPr>
          <w:rFonts w:ascii="Arial" w:hAnsi="Arial" w:cs="Arial"/>
          <w:color w:val="000000"/>
          <w:sz w:val="20"/>
          <w:szCs w:val="20"/>
        </w:rPr>
        <w:t>.</w:t>
      </w:r>
    </w:p>
    <w:p w:rsidR="00441E4B" w:rsidRPr="00441E4B" w:rsidRDefault="006B3139" w:rsidP="00441E4B">
      <w:pPr>
        <w:pStyle w:val="ListParagraph"/>
        <w:numPr>
          <w:ilvl w:val="0"/>
          <w:numId w:val="4"/>
        </w:numPr>
        <w:tabs>
          <w:tab w:val="clear" w:pos="1080"/>
        </w:tabs>
        <w:ind w:left="360"/>
        <w:rPr>
          <w:rFonts w:ascii="Arial" w:hAnsi="Arial" w:cs="Arial"/>
          <w:b/>
          <w:color w:val="000000"/>
          <w:sz w:val="20"/>
          <w:szCs w:val="20"/>
          <w:u w:val="single"/>
        </w:rPr>
      </w:pPr>
      <w:r>
        <w:rPr>
          <w:rFonts w:ascii="Arial" w:hAnsi="Arial" w:cs="Arial"/>
          <w:color w:val="000000"/>
          <w:sz w:val="20"/>
          <w:szCs w:val="20"/>
        </w:rPr>
        <w:t>The PA advised that there will be some changes to public reports.  The PA will send out notification prior to the new PAS to users to let them know of the upcoming changes to the public reports in case they do a function similar to screen scrapes on the reports and need to make some process modifications to accept the new report format.</w:t>
      </w:r>
    </w:p>
    <w:p w:rsidR="00C4255D" w:rsidRPr="00B75DAB" w:rsidRDefault="00C4255D" w:rsidP="00C84A68">
      <w:pPr>
        <w:pStyle w:val="ListParagraph"/>
        <w:ind w:left="0"/>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6B3139" w:rsidP="00060D62">
      <w:pPr>
        <w:rPr>
          <w:rFonts w:ascii="Arial" w:hAnsi="Arial" w:cs="Arial"/>
          <w:sz w:val="20"/>
          <w:szCs w:val="20"/>
        </w:rPr>
      </w:pPr>
      <w:r>
        <w:rPr>
          <w:rFonts w:ascii="Arial" w:hAnsi="Arial" w:cs="Arial"/>
          <w:sz w:val="20"/>
          <w:szCs w:val="20"/>
        </w:rPr>
        <w:t>N/A</w:t>
      </w: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CA2AA7" w:rsidP="00AB5D6B">
      <w:pPr>
        <w:numPr>
          <w:ilvl w:val="0"/>
          <w:numId w:val="3"/>
        </w:numPr>
        <w:rPr>
          <w:rFonts w:ascii="Arial" w:hAnsi="Arial" w:cs="Arial"/>
          <w:sz w:val="20"/>
          <w:szCs w:val="20"/>
        </w:rPr>
      </w:pPr>
      <w:r>
        <w:rPr>
          <w:rFonts w:ascii="Arial" w:hAnsi="Arial" w:cs="Arial"/>
          <w:sz w:val="20"/>
          <w:szCs w:val="20"/>
        </w:rPr>
        <w:t>December 16</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DD" w:rsidRDefault="005C22DD">
      <w:r>
        <w:separator/>
      </w:r>
    </w:p>
  </w:endnote>
  <w:endnote w:type="continuationSeparator" w:id="0">
    <w:p w:rsidR="005C22DD" w:rsidRDefault="005C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C01AC2">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C01AC2">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DD" w:rsidRDefault="005C22DD">
      <w:r>
        <w:separator/>
      </w:r>
    </w:p>
  </w:footnote>
  <w:footnote w:type="continuationSeparator" w:id="0">
    <w:p w:rsidR="005C22DD" w:rsidRDefault="005C2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2F0F28" w:rsidP="00FA5398">
    <w:pPr>
      <w:jc w:val="center"/>
      <w:rPr>
        <w:rStyle w:val="Strong"/>
        <w:rFonts w:ascii="Arial" w:hAnsi="Arial" w:cs="Arial"/>
        <w:sz w:val="20"/>
        <w:szCs w:val="20"/>
      </w:rPr>
    </w:pPr>
    <w:r>
      <w:rPr>
        <w:rStyle w:val="Strong"/>
        <w:rFonts w:ascii="Arial" w:hAnsi="Arial" w:cs="Arial"/>
        <w:sz w:val="20"/>
        <w:szCs w:val="20"/>
      </w:rPr>
      <w:t>November 21</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BF1"/>
    <w:multiLevelType w:val="hybridMultilevel"/>
    <w:tmpl w:val="3A8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2149F"/>
    <w:multiLevelType w:val="hybridMultilevel"/>
    <w:tmpl w:val="2CC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83578"/>
    <w:multiLevelType w:val="multilevel"/>
    <w:tmpl w:val="C9265CB2"/>
    <w:lvl w:ilvl="0">
      <w:start w:val="1"/>
      <w:numFmt w:val="bullet"/>
      <w:lvlText w:val=""/>
      <w:lvlJc w:val="left"/>
      <w:pPr>
        <w:ind w:left="1080" w:hanging="360"/>
      </w:pPr>
      <w:rPr>
        <w:rFonts w:ascii="Symbol" w:hAnsi="Symbol" w:hint="default"/>
        <w:b/>
        <w:i w:val="0"/>
      </w:rPr>
    </w:lvl>
    <w:lvl w:ilvl="1">
      <w:start w:val="1"/>
      <w:numFmt w:val="bullet"/>
      <w:lvlText w:val=""/>
      <w:lvlJc w:val="left"/>
      <w:pPr>
        <w:ind w:left="1512" w:hanging="72"/>
      </w:pPr>
      <w:rPr>
        <w:rFonts w:ascii="Symbol" w:hAnsi="Symbol" w:hint="default"/>
        <w:i w:val="0"/>
      </w:rPr>
    </w:lvl>
    <w:lvl w:ilvl="2">
      <w:start w:val="1"/>
      <w:numFmt w:val="bullet"/>
      <w:lvlText w:val=""/>
      <w:lvlJc w:val="left"/>
      <w:pPr>
        <w:ind w:left="1944" w:hanging="504"/>
      </w:pPr>
      <w:rPr>
        <w:rFonts w:ascii="Symbol" w:hAnsi="Symbol" w:hint="default"/>
        <w:color w:val="auto"/>
      </w:rPr>
    </w:lvl>
    <w:lvl w:ilvl="3">
      <w:start w:val="1"/>
      <w:numFmt w:val="bullet"/>
      <w:lvlText w:val="o"/>
      <w:lvlJc w:val="left"/>
      <w:pPr>
        <w:ind w:left="2448" w:hanging="648"/>
      </w:pPr>
      <w:rPr>
        <w:rFonts w:ascii="Courier New" w:hAnsi="Courier New" w:cs="Courier New" w:hint="default"/>
      </w:r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bullet"/>
      <w:lvlText w:val=""/>
      <w:lvlJc w:val="left"/>
      <w:pPr>
        <w:ind w:left="3960" w:hanging="1080"/>
      </w:pPr>
      <w:rPr>
        <w:rFonts w:ascii="Symbol" w:hAnsi="Symbol" w:hint="default"/>
      </w:rPr>
    </w:lvl>
    <w:lvl w:ilvl="7">
      <w:start w:val="1"/>
      <w:numFmt w:val="bullet"/>
      <w:lvlText w:val="o"/>
      <w:lvlJc w:val="left"/>
      <w:pPr>
        <w:ind w:left="4464" w:hanging="1224"/>
      </w:pPr>
      <w:rPr>
        <w:rFonts w:ascii="Courier New" w:hAnsi="Courier New" w:cs="Courier New" w:hint="default"/>
      </w:rPr>
    </w:lvl>
    <w:lvl w:ilvl="8">
      <w:start w:val="1"/>
      <w:numFmt w:val="bullet"/>
      <w:lvlText w:val=""/>
      <w:lvlJc w:val="left"/>
      <w:pPr>
        <w:ind w:left="5040" w:hanging="1440"/>
      </w:pPr>
      <w:rPr>
        <w:rFonts w:ascii="Wingdings" w:hAnsi="Wingdings" w:hint="default"/>
      </w:rPr>
    </w:lvl>
  </w:abstractNum>
  <w:abstractNum w:abstractNumId="9">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06C38"/>
    <w:multiLevelType w:val="hybridMultilevel"/>
    <w:tmpl w:val="CBF0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5A383F"/>
    <w:multiLevelType w:val="hybridMultilevel"/>
    <w:tmpl w:val="ED905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5724AF"/>
    <w:multiLevelType w:val="hybridMultilevel"/>
    <w:tmpl w:val="6B32B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C8D2288"/>
    <w:multiLevelType w:val="hybridMultilevel"/>
    <w:tmpl w:val="F7E4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4AF23C9"/>
    <w:multiLevelType w:val="hybridMultilevel"/>
    <w:tmpl w:val="AD46E23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D3B3C6C"/>
    <w:multiLevelType w:val="hybridMultilevel"/>
    <w:tmpl w:val="F704D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6"/>
  </w:num>
  <w:num w:numId="4">
    <w:abstractNumId w:val="18"/>
  </w:num>
  <w:num w:numId="5">
    <w:abstractNumId w:val="34"/>
  </w:num>
  <w:num w:numId="6">
    <w:abstractNumId w:val="29"/>
  </w:num>
  <w:num w:numId="7">
    <w:abstractNumId w:val="30"/>
  </w:num>
  <w:num w:numId="8">
    <w:abstractNumId w:val="1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28"/>
  </w:num>
  <w:num w:numId="13">
    <w:abstractNumId w:val="38"/>
  </w:num>
  <w:num w:numId="14">
    <w:abstractNumId w:val="12"/>
  </w:num>
  <w:num w:numId="15">
    <w:abstractNumId w:val="19"/>
  </w:num>
  <w:num w:numId="16">
    <w:abstractNumId w:val="0"/>
  </w:num>
  <w:num w:numId="17">
    <w:abstractNumId w:val="23"/>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32"/>
  </w:num>
  <w:num w:numId="26">
    <w:abstractNumId w:val="22"/>
  </w:num>
  <w:num w:numId="27">
    <w:abstractNumId w:val="8"/>
  </w:num>
  <w:num w:numId="28">
    <w:abstractNumId w:val="21"/>
  </w:num>
  <w:num w:numId="29">
    <w:abstractNumId w:val="36"/>
  </w:num>
  <w:num w:numId="30">
    <w:abstractNumId w:val="20"/>
  </w:num>
  <w:num w:numId="31">
    <w:abstractNumId w:val="15"/>
  </w:num>
  <w:num w:numId="32">
    <w:abstractNumId w:val="11"/>
  </w:num>
  <w:num w:numId="33">
    <w:abstractNumId w:val="25"/>
  </w:num>
  <w:num w:numId="34">
    <w:abstractNumId w:val="9"/>
  </w:num>
  <w:num w:numId="35">
    <w:abstractNumId w:val="1"/>
  </w:num>
  <w:num w:numId="36">
    <w:abstractNumId w:val="17"/>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7"/>
  </w:num>
  <w:num w:numId="39">
    <w:abstractNumId w:val="14"/>
  </w:num>
  <w:num w:numId="40">
    <w:abstractNumId w:val="7"/>
  </w:num>
  <w:num w:numId="41">
    <w:abstractNumId w:val="10"/>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7409"/>
    <w:rsid w:val="000C7BCF"/>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660B"/>
    <w:rsid w:val="000E7386"/>
    <w:rsid w:val="000F057A"/>
    <w:rsid w:val="000F089B"/>
    <w:rsid w:val="000F10DA"/>
    <w:rsid w:val="000F1C09"/>
    <w:rsid w:val="000F2076"/>
    <w:rsid w:val="000F36DA"/>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487D"/>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D9"/>
    <w:rsid w:val="00272C87"/>
    <w:rsid w:val="002731A0"/>
    <w:rsid w:val="00273F91"/>
    <w:rsid w:val="00274BAE"/>
    <w:rsid w:val="002801EB"/>
    <w:rsid w:val="0028088B"/>
    <w:rsid w:val="00281919"/>
    <w:rsid w:val="00281C13"/>
    <w:rsid w:val="002829A8"/>
    <w:rsid w:val="002839D4"/>
    <w:rsid w:val="00283E7C"/>
    <w:rsid w:val="00284DBD"/>
    <w:rsid w:val="002850EF"/>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5189"/>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7B3B"/>
    <w:rsid w:val="00380925"/>
    <w:rsid w:val="00380E8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530E"/>
    <w:rsid w:val="003D5B03"/>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4F6"/>
    <w:rsid w:val="00440869"/>
    <w:rsid w:val="00441E4B"/>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CFE"/>
    <w:rsid w:val="004F11D3"/>
    <w:rsid w:val="004F211A"/>
    <w:rsid w:val="004F2323"/>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2DD"/>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BC"/>
    <w:rsid w:val="006236B5"/>
    <w:rsid w:val="006239B3"/>
    <w:rsid w:val="006248F4"/>
    <w:rsid w:val="00624DE0"/>
    <w:rsid w:val="00625452"/>
    <w:rsid w:val="00625D1C"/>
    <w:rsid w:val="00626356"/>
    <w:rsid w:val="00626670"/>
    <w:rsid w:val="00627B95"/>
    <w:rsid w:val="006302B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67AF3"/>
    <w:rsid w:val="006709EB"/>
    <w:rsid w:val="006712E9"/>
    <w:rsid w:val="006714D8"/>
    <w:rsid w:val="00672092"/>
    <w:rsid w:val="00673913"/>
    <w:rsid w:val="00674A12"/>
    <w:rsid w:val="006753C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37BC6"/>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90CBC"/>
    <w:rsid w:val="00890E3E"/>
    <w:rsid w:val="00890EAA"/>
    <w:rsid w:val="00891738"/>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66B0"/>
    <w:rsid w:val="008A7EB6"/>
    <w:rsid w:val="008B193C"/>
    <w:rsid w:val="008B2DB2"/>
    <w:rsid w:val="008B318B"/>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332C"/>
    <w:rsid w:val="009A3944"/>
    <w:rsid w:val="009A3DC9"/>
    <w:rsid w:val="009A4855"/>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604E"/>
    <w:rsid w:val="00A9790B"/>
    <w:rsid w:val="00AA033B"/>
    <w:rsid w:val="00AA17F1"/>
    <w:rsid w:val="00AA1F7B"/>
    <w:rsid w:val="00AA3438"/>
    <w:rsid w:val="00AA4707"/>
    <w:rsid w:val="00AA5E17"/>
    <w:rsid w:val="00AA6EB8"/>
    <w:rsid w:val="00AA716D"/>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3F8E"/>
    <w:rsid w:val="00AE4198"/>
    <w:rsid w:val="00AE5BE8"/>
    <w:rsid w:val="00AE7D76"/>
    <w:rsid w:val="00AF085E"/>
    <w:rsid w:val="00AF0E5E"/>
    <w:rsid w:val="00AF11A1"/>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1AC2"/>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731D"/>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E1363"/>
    <w:rsid w:val="00CE2C6F"/>
    <w:rsid w:val="00CE3929"/>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C60"/>
    <w:rsid w:val="00DE2683"/>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5E9F"/>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65D"/>
    <w:rsid w:val="00F335F7"/>
    <w:rsid w:val="00F34335"/>
    <w:rsid w:val="00F3473C"/>
    <w:rsid w:val="00F34794"/>
    <w:rsid w:val="00F3635B"/>
    <w:rsid w:val="00F36ECF"/>
    <w:rsid w:val="00F37414"/>
    <w:rsid w:val="00F37507"/>
    <w:rsid w:val="00F40E6A"/>
    <w:rsid w:val="00F42FB9"/>
    <w:rsid w:val="00F43745"/>
    <w:rsid w:val="00F437A6"/>
    <w:rsid w:val="00F439A9"/>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477C"/>
    <w:rsid w:val="00F64CF5"/>
    <w:rsid w:val="00F65C59"/>
    <w:rsid w:val="00F6687B"/>
    <w:rsid w:val="00F66BD8"/>
    <w:rsid w:val="00F66C76"/>
    <w:rsid w:val="00F66EC4"/>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488F"/>
    <w:rsid w:val="00FF5ADB"/>
    <w:rsid w:val="00FF5BD0"/>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8566</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2015-02-03T21:39:00Z</dcterms:created>
  <dcterms:modified xsi:type="dcterms:W3CDTF">2015-02-03T21:39:00Z</dcterms:modified>
</cp:coreProperties>
</file>