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618" w:rsidRPr="00432573" w:rsidRDefault="003E1618" w:rsidP="003E1618">
      <w:pPr>
        <w:jc w:val="center"/>
        <w:rPr>
          <w:b/>
          <w:color w:val="000000" w:themeColor="text1"/>
          <w:sz w:val="36"/>
          <w:szCs w:val="36"/>
        </w:rPr>
      </w:pPr>
      <w:bookmarkStart w:id="0" w:name="_GoBack"/>
      <w:bookmarkEnd w:id="0"/>
      <w:r w:rsidRPr="00432573">
        <w:rPr>
          <w:b/>
          <w:color w:val="000000" w:themeColor="text1"/>
          <w:sz w:val="36"/>
          <w:szCs w:val="36"/>
        </w:rPr>
        <w:t>North American Numbering Council</w:t>
      </w:r>
      <w:r w:rsidR="000C1F03">
        <w:rPr>
          <w:b/>
          <w:color w:val="000000" w:themeColor="text1"/>
          <w:sz w:val="36"/>
          <w:szCs w:val="36"/>
        </w:rPr>
        <w:t xml:space="preserve"> (NANC)</w:t>
      </w:r>
    </w:p>
    <w:p w:rsidR="003E1618" w:rsidRPr="00432573" w:rsidRDefault="003E1618" w:rsidP="003E1618">
      <w:pPr>
        <w:jc w:val="center"/>
        <w:rPr>
          <w:b/>
          <w:color w:val="000000" w:themeColor="text1"/>
          <w:sz w:val="36"/>
          <w:szCs w:val="36"/>
        </w:rPr>
      </w:pPr>
    </w:p>
    <w:p w:rsidR="00B95472" w:rsidRDefault="003E1618" w:rsidP="00B95472">
      <w:pPr>
        <w:jc w:val="center"/>
        <w:rPr>
          <w:b/>
          <w:color w:val="000000" w:themeColor="text1"/>
          <w:sz w:val="36"/>
          <w:szCs w:val="36"/>
        </w:rPr>
      </w:pPr>
      <w:r w:rsidRPr="003E1618">
        <w:rPr>
          <w:b/>
          <w:color w:val="FF0000"/>
          <w:sz w:val="36"/>
          <w:szCs w:val="36"/>
        </w:rPr>
        <w:t xml:space="preserve">DRAFT </w:t>
      </w:r>
      <w:r w:rsidR="00B95472">
        <w:rPr>
          <w:b/>
          <w:color w:val="000000" w:themeColor="text1"/>
          <w:sz w:val="36"/>
          <w:szCs w:val="36"/>
        </w:rPr>
        <w:t>Recommendations</w:t>
      </w:r>
      <w:r w:rsidRPr="00432573">
        <w:rPr>
          <w:b/>
          <w:color w:val="000000" w:themeColor="text1"/>
          <w:sz w:val="36"/>
          <w:szCs w:val="36"/>
        </w:rPr>
        <w:t xml:space="preserve"> </w:t>
      </w:r>
      <w:r w:rsidR="00B95472">
        <w:rPr>
          <w:b/>
          <w:color w:val="000000" w:themeColor="text1"/>
          <w:sz w:val="36"/>
          <w:szCs w:val="36"/>
        </w:rPr>
        <w:t xml:space="preserve">on </w:t>
      </w:r>
    </w:p>
    <w:p w:rsidR="00B95472" w:rsidRDefault="00B95472" w:rsidP="00B95472">
      <w:pPr>
        <w:jc w:val="center"/>
        <w:rPr>
          <w:b/>
          <w:color w:val="000000" w:themeColor="text1"/>
          <w:sz w:val="36"/>
          <w:szCs w:val="36"/>
        </w:rPr>
      </w:pPr>
      <w:r>
        <w:rPr>
          <w:b/>
          <w:color w:val="000000" w:themeColor="text1"/>
          <w:sz w:val="36"/>
          <w:szCs w:val="36"/>
        </w:rPr>
        <w:t xml:space="preserve">Funding of the Creation Costs and </w:t>
      </w:r>
    </w:p>
    <w:p w:rsidR="00B95472" w:rsidRDefault="00B95472" w:rsidP="00950BAF">
      <w:pPr>
        <w:jc w:val="center"/>
        <w:rPr>
          <w:b/>
          <w:color w:val="000000" w:themeColor="text1"/>
          <w:sz w:val="36"/>
          <w:szCs w:val="36"/>
        </w:rPr>
      </w:pPr>
      <w:r>
        <w:rPr>
          <w:b/>
          <w:color w:val="000000" w:themeColor="text1"/>
          <w:sz w:val="36"/>
          <w:szCs w:val="36"/>
        </w:rPr>
        <w:t xml:space="preserve">Fee Structure for Users of the </w:t>
      </w:r>
    </w:p>
    <w:p w:rsidR="003E1618" w:rsidRPr="00432573" w:rsidRDefault="00B95472" w:rsidP="00950BAF">
      <w:pPr>
        <w:jc w:val="center"/>
        <w:rPr>
          <w:b/>
          <w:color w:val="000000" w:themeColor="text1"/>
          <w:sz w:val="36"/>
          <w:szCs w:val="36"/>
        </w:rPr>
      </w:pPr>
      <w:r>
        <w:rPr>
          <w:b/>
          <w:color w:val="000000" w:themeColor="text1"/>
          <w:sz w:val="36"/>
          <w:szCs w:val="36"/>
        </w:rPr>
        <w:t xml:space="preserve">Reassigned Numbers Database </w:t>
      </w:r>
    </w:p>
    <w:p w:rsidR="003E1618" w:rsidRPr="00432573" w:rsidRDefault="003E1618" w:rsidP="003E1618">
      <w:pPr>
        <w:rPr>
          <w:color w:val="000000" w:themeColor="text1"/>
          <w:sz w:val="36"/>
          <w:szCs w:val="36"/>
        </w:rPr>
      </w:pPr>
    </w:p>
    <w:p w:rsidR="003E1618" w:rsidRPr="00432573" w:rsidRDefault="003E1618" w:rsidP="003E1618">
      <w:pPr>
        <w:rPr>
          <w:color w:val="000000" w:themeColor="text1"/>
        </w:rPr>
      </w:pPr>
    </w:p>
    <w:p w:rsidR="003E1618" w:rsidRPr="00432573" w:rsidRDefault="003E1618" w:rsidP="003E1618">
      <w:pPr>
        <w:jc w:val="center"/>
        <w:rPr>
          <w:b/>
          <w:color w:val="000000" w:themeColor="text1"/>
          <w:sz w:val="28"/>
          <w:szCs w:val="28"/>
        </w:rPr>
      </w:pPr>
      <w:r>
        <w:rPr>
          <w:color w:val="000000" w:themeColor="text1"/>
        </w:rPr>
        <w:t>January 13, 2020</w:t>
      </w:r>
    </w:p>
    <w:p w:rsidR="00B95472" w:rsidRDefault="00B95472">
      <w:pPr>
        <w:rPr>
          <w:b/>
        </w:rPr>
      </w:pPr>
      <w:r>
        <w:rPr>
          <w:b/>
        </w:rPr>
        <w:br w:type="page"/>
      </w:r>
    </w:p>
    <w:p w:rsidR="007A4A67" w:rsidRDefault="007A4A67" w:rsidP="00097070">
      <w:pPr>
        <w:jc w:val="center"/>
        <w:rPr>
          <w:b/>
          <w:sz w:val="24"/>
          <w:szCs w:val="24"/>
        </w:rPr>
      </w:pPr>
      <w:bookmarkStart w:id="1" w:name="_Toc29568353"/>
      <w:r w:rsidRPr="00097070">
        <w:rPr>
          <w:b/>
          <w:sz w:val="24"/>
          <w:szCs w:val="24"/>
        </w:rPr>
        <w:lastRenderedPageBreak/>
        <w:t>Table of Contents</w:t>
      </w:r>
      <w:bookmarkEnd w:id="1"/>
    </w:p>
    <w:p w:rsidR="00097070" w:rsidRDefault="00097070">
      <w:pPr>
        <w:pStyle w:val="TOC1"/>
        <w:tabs>
          <w:tab w:val="right" w:leader="dot" w:pos="10214"/>
        </w:tabs>
        <w:rPr>
          <w:rFonts w:eastAsiaTheme="minorEastAsia"/>
          <w:noProof/>
        </w:rPr>
      </w:pPr>
      <w:r>
        <w:rPr>
          <w:b/>
          <w:sz w:val="24"/>
          <w:szCs w:val="24"/>
        </w:rPr>
        <w:fldChar w:fldCharType="begin"/>
      </w:r>
      <w:r>
        <w:rPr>
          <w:b/>
          <w:sz w:val="24"/>
          <w:szCs w:val="24"/>
        </w:rPr>
        <w:instrText xml:space="preserve"> TOC \o "1-2" \h \z \u </w:instrText>
      </w:r>
      <w:r>
        <w:rPr>
          <w:b/>
          <w:sz w:val="24"/>
          <w:szCs w:val="24"/>
        </w:rPr>
        <w:fldChar w:fldCharType="separate"/>
      </w:r>
      <w:hyperlink w:anchor="_Toc29570999" w:history="1">
        <w:r w:rsidRPr="006A1D37">
          <w:rPr>
            <w:rStyle w:val="Hyperlink"/>
            <w:noProof/>
          </w:rPr>
          <w:t>Section 1: Executive Summary</w:t>
        </w:r>
        <w:r>
          <w:rPr>
            <w:noProof/>
            <w:webHidden/>
          </w:rPr>
          <w:tab/>
        </w:r>
        <w:r>
          <w:rPr>
            <w:noProof/>
            <w:webHidden/>
          </w:rPr>
          <w:fldChar w:fldCharType="begin"/>
        </w:r>
        <w:r>
          <w:rPr>
            <w:noProof/>
            <w:webHidden/>
          </w:rPr>
          <w:instrText xml:space="preserve"> PAGEREF _Toc29570999 \h </w:instrText>
        </w:r>
        <w:r>
          <w:rPr>
            <w:noProof/>
            <w:webHidden/>
          </w:rPr>
        </w:r>
        <w:r>
          <w:rPr>
            <w:noProof/>
            <w:webHidden/>
          </w:rPr>
          <w:fldChar w:fldCharType="separate"/>
        </w:r>
        <w:r>
          <w:rPr>
            <w:noProof/>
            <w:webHidden/>
          </w:rPr>
          <w:t>3</w:t>
        </w:r>
        <w:r>
          <w:rPr>
            <w:noProof/>
            <w:webHidden/>
          </w:rPr>
          <w:fldChar w:fldCharType="end"/>
        </w:r>
      </w:hyperlink>
    </w:p>
    <w:p w:rsidR="00097070" w:rsidRDefault="00327DB3">
      <w:pPr>
        <w:pStyle w:val="TOC1"/>
        <w:tabs>
          <w:tab w:val="right" w:leader="dot" w:pos="10214"/>
        </w:tabs>
        <w:rPr>
          <w:rFonts w:eastAsiaTheme="minorEastAsia"/>
          <w:noProof/>
        </w:rPr>
      </w:pPr>
      <w:hyperlink w:anchor="_Toc29571000" w:history="1">
        <w:r w:rsidR="00097070" w:rsidRPr="006A1D37">
          <w:rPr>
            <w:rStyle w:val="Hyperlink"/>
            <w:noProof/>
          </w:rPr>
          <w:t>Section 2: Introduction and Background</w:t>
        </w:r>
        <w:r w:rsidR="00097070">
          <w:rPr>
            <w:noProof/>
            <w:webHidden/>
          </w:rPr>
          <w:tab/>
        </w:r>
        <w:r w:rsidR="00097070">
          <w:rPr>
            <w:noProof/>
            <w:webHidden/>
          </w:rPr>
          <w:fldChar w:fldCharType="begin"/>
        </w:r>
        <w:r w:rsidR="00097070">
          <w:rPr>
            <w:noProof/>
            <w:webHidden/>
          </w:rPr>
          <w:instrText xml:space="preserve"> PAGEREF _Toc29571000 \h </w:instrText>
        </w:r>
        <w:r w:rsidR="00097070">
          <w:rPr>
            <w:noProof/>
            <w:webHidden/>
          </w:rPr>
        </w:r>
        <w:r w:rsidR="00097070">
          <w:rPr>
            <w:noProof/>
            <w:webHidden/>
          </w:rPr>
          <w:fldChar w:fldCharType="separate"/>
        </w:r>
        <w:r w:rsidR="00097070">
          <w:rPr>
            <w:noProof/>
            <w:webHidden/>
          </w:rPr>
          <w:t>3</w:t>
        </w:r>
        <w:r w:rsidR="00097070">
          <w:rPr>
            <w:noProof/>
            <w:webHidden/>
          </w:rPr>
          <w:fldChar w:fldCharType="end"/>
        </w:r>
      </w:hyperlink>
    </w:p>
    <w:p w:rsidR="00097070" w:rsidRDefault="00327DB3">
      <w:pPr>
        <w:pStyle w:val="TOC1"/>
        <w:tabs>
          <w:tab w:val="right" w:leader="dot" w:pos="10214"/>
        </w:tabs>
        <w:rPr>
          <w:rFonts w:eastAsiaTheme="minorEastAsia"/>
          <w:noProof/>
        </w:rPr>
      </w:pPr>
      <w:hyperlink w:anchor="_Toc29571001" w:history="1">
        <w:r w:rsidR="00097070" w:rsidRPr="006A1D37">
          <w:rPr>
            <w:rStyle w:val="Hyperlink"/>
            <w:noProof/>
          </w:rPr>
          <w:t>Section 3: Funding and Repayment of Creation Costs of the RND</w:t>
        </w:r>
        <w:r w:rsidR="00097070">
          <w:rPr>
            <w:noProof/>
            <w:webHidden/>
          </w:rPr>
          <w:tab/>
        </w:r>
        <w:r w:rsidR="00097070">
          <w:rPr>
            <w:noProof/>
            <w:webHidden/>
          </w:rPr>
          <w:fldChar w:fldCharType="begin"/>
        </w:r>
        <w:r w:rsidR="00097070">
          <w:rPr>
            <w:noProof/>
            <w:webHidden/>
          </w:rPr>
          <w:instrText xml:space="preserve"> PAGEREF _Toc29571001 \h </w:instrText>
        </w:r>
        <w:r w:rsidR="00097070">
          <w:rPr>
            <w:noProof/>
            <w:webHidden/>
          </w:rPr>
        </w:r>
        <w:r w:rsidR="00097070">
          <w:rPr>
            <w:noProof/>
            <w:webHidden/>
          </w:rPr>
          <w:fldChar w:fldCharType="separate"/>
        </w:r>
        <w:r w:rsidR="00097070">
          <w:rPr>
            <w:noProof/>
            <w:webHidden/>
          </w:rPr>
          <w:t>3</w:t>
        </w:r>
        <w:r w:rsidR="00097070">
          <w:rPr>
            <w:noProof/>
            <w:webHidden/>
          </w:rPr>
          <w:fldChar w:fldCharType="end"/>
        </w:r>
      </w:hyperlink>
    </w:p>
    <w:p w:rsidR="00097070" w:rsidRDefault="00327DB3">
      <w:pPr>
        <w:pStyle w:val="TOC2"/>
        <w:tabs>
          <w:tab w:val="right" w:leader="dot" w:pos="10214"/>
        </w:tabs>
        <w:rPr>
          <w:rFonts w:eastAsiaTheme="minorEastAsia"/>
          <w:noProof/>
        </w:rPr>
      </w:pPr>
      <w:hyperlink w:anchor="_Toc29571002" w:history="1">
        <w:r w:rsidR="00097070" w:rsidRPr="006A1D37">
          <w:rPr>
            <w:rStyle w:val="Hyperlink"/>
            <w:noProof/>
          </w:rPr>
          <w:t>Section 3.1: Collecting RND Creation Cost Contributions from Service Providers</w:t>
        </w:r>
        <w:r w:rsidR="00097070">
          <w:rPr>
            <w:noProof/>
            <w:webHidden/>
          </w:rPr>
          <w:tab/>
        </w:r>
        <w:r w:rsidR="00097070">
          <w:rPr>
            <w:noProof/>
            <w:webHidden/>
          </w:rPr>
          <w:fldChar w:fldCharType="begin"/>
        </w:r>
        <w:r w:rsidR="00097070">
          <w:rPr>
            <w:noProof/>
            <w:webHidden/>
          </w:rPr>
          <w:instrText xml:space="preserve"> PAGEREF _Toc29571002 \h </w:instrText>
        </w:r>
        <w:r w:rsidR="00097070">
          <w:rPr>
            <w:noProof/>
            <w:webHidden/>
          </w:rPr>
        </w:r>
        <w:r w:rsidR="00097070">
          <w:rPr>
            <w:noProof/>
            <w:webHidden/>
          </w:rPr>
          <w:fldChar w:fldCharType="separate"/>
        </w:r>
        <w:r w:rsidR="00097070">
          <w:rPr>
            <w:noProof/>
            <w:webHidden/>
          </w:rPr>
          <w:t>4</w:t>
        </w:r>
        <w:r w:rsidR="00097070">
          <w:rPr>
            <w:noProof/>
            <w:webHidden/>
          </w:rPr>
          <w:fldChar w:fldCharType="end"/>
        </w:r>
      </w:hyperlink>
    </w:p>
    <w:p w:rsidR="00097070" w:rsidRDefault="00327DB3">
      <w:pPr>
        <w:pStyle w:val="TOC2"/>
        <w:tabs>
          <w:tab w:val="right" w:leader="dot" w:pos="10214"/>
        </w:tabs>
        <w:rPr>
          <w:rFonts w:eastAsiaTheme="minorEastAsia"/>
          <w:noProof/>
        </w:rPr>
      </w:pPr>
      <w:hyperlink w:anchor="_Toc29571003" w:history="1">
        <w:r w:rsidR="00097070" w:rsidRPr="006A1D37">
          <w:rPr>
            <w:rStyle w:val="Hyperlink"/>
            <w:noProof/>
          </w:rPr>
          <w:t>Section 3.2: B&amp;C Agent RND Creation Funding Considerations</w:t>
        </w:r>
        <w:r w:rsidR="00097070">
          <w:rPr>
            <w:noProof/>
            <w:webHidden/>
          </w:rPr>
          <w:tab/>
        </w:r>
        <w:r w:rsidR="00097070">
          <w:rPr>
            <w:noProof/>
            <w:webHidden/>
          </w:rPr>
          <w:fldChar w:fldCharType="begin"/>
        </w:r>
        <w:r w:rsidR="00097070">
          <w:rPr>
            <w:noProof/>
            <w:webHidden/>
          </w:rPr>
          <w:instrText xml:space="preserve"> PAGEREF _Toc29571003 \h </w:instrText>
        </w:r>
        <w:r w:rsidR="00097070">
          <w:rPr>
            <w:noProof/>
            <w:webHidden/>
          </w:rPr>
        </w:r>
        <w:r w:rsidR="00097070">
          <w:rPr>
            <w:noProof/>
            <w:webHidden/>
          </w:rPr>
          <w:fldChar w:fldCharType="separate"/>
        </w:r>
        <w:r w:rsidR="00097070">
          <w:rPr>
            <w:noProof/>
            <w:webHidden/>
          </w:rPr>
          <w:t>5</w:t>
        </w:r>
        <w:r w:rsidR="00097070">
          <w:rPr>
            <w:noProof/>
            <w:webHidden/>
          </w:rPr>
          <w:fldChar w:fldCharType="end"/>
        </w:r>
      </w:hyperlink>
    </w:p>
    <w:p w:rsidR="00097070" w:rsidRDefault="00327DB3">
      <w:pPr>
        <w:pStyle w:val="TOC2"/>
        <w:tabs>
          <w:tab w:val="right" w:leader="dot" w:pos="10214"/>
        </w:tabs>
        <w:rPr>
          <w:rFonts w:eastAsiaTheme="minorEastAsia"/>
          <w:noProof/>
        </w:rPr>
      </w:pPr>
      <w:hyperlink w:anchor="_Toc29571004" w:history="1">
        <w:r w:rsidR="00097070" w:rsidRPr="006A1D37">
          <w:rPr>
            <w:rStyle w:val="Hyperlink"/>
            <w:noProof/>
          </w:rPr>
          <w:t>Section 3.3: Repayment of RND Creation Costs</w:t>
        </w:r>
        <w:r w:rsidR="00097070">
          <w:rPr>
            <w:noProof/>
            <w:webHidden/>
          </w:rPr>
          <w:tab/>
        </w:r>
        <w:r w:rsidR="00097070">
          <w:rPr>
            <w:noProof/>
            <w:webHidden/>
          </w:rPr>
          <w:fldChar w:fldCharType="begin"/>
        </w:r>
        <w:r w:rsidR="00097070">
          <w:rPr>
            <w:noProof/>
            <w:webHidden/>
          </w:rPr>
          <w:instrText xml:space="preserve"> PAGEREF _Toc29571004 \h </w:instrText>
        </w:r>
        <w:r w:rsidR="00097070">
          <w:rPr>
            <w:noProof/>
            <w:webHidden/>
          </w:rPr>
        </w:r>
        <w:r w:rsidR="00097070">
          <w:rPr>
            <w:noProof/>
            <w:webHidden/>
          </w:rPr>
          <w:fldChar w:fldCharType="separate"/>
        </w:r>
        <w:r w:rsidR="00097070">
          <w:rPr>
            <w:noProof/>
            <w:webHidden/>
          </w:rPr>
          <w:t>5</w:t>
        </w:r>
        <w:r w:rsidR="00097070">
          <w:rPr>
            <w:noProof/>
            <w:webHidden/>
          </w:rPr>
          <w:fldChar w:fldCharType="end"/>
        </w:r>
      </w:hyperlink>
    </w:p>
    <w:p w:rsidR="00097070" w:rsidRDefault="00327DB3">
      <w:pPr>
        <w:pStyle w:val="TOC2"/>
        <w:tabs>
          <w:tab w:val="right" w:leader="dot" w:pos="10214"/>
        </w:tabs>
        <w:rPr>
          <w:rFonts w:eastAsiaTheme="minorEastAsia"/>
          <w:noProof/>
        </w:rPr>
      </w:pPr>
      <w:hyperlink w:anchor="_Toc29571005" w:history="1">
        <w:r w:rsidR="00097070" w:rsidRPr="006A1D37">
          <w:rPr>
            <w:rStyle w:val="Hyperlink"/>
            <w:noProof/>
          </w:rPr>
          <w:t>Section 3.4: B&amp;C Agent Considerations for Service Provider Repayment</w:t>
        </w:r>
        <w:r w:rsidR="00097070">
          <w:rPr>
            <w:noProof/>
            <w:webHidden/>
          </w:rPr>
          <w:tab/>
        </w:r>
        <w:r w:rsidR="00097070">
          <w:rPr>
            <w:noProof/>
            <w:webHidden/>
          </w:rPr>
          <w:fldChar w:fldCharType="begin"/>
        </w:r>
        <w:r w:rsidR="00097070">
          <w:rPr>
            <w:noProof/>
            <w:webHidden/>
          </w:rPr>
          <w:instrText xml:space="preserve"> PAGEREF _Toc29571005 \h </w:instrText>
        </w:r>
        <w:r w:rsidR="00097070">
          <w:rPr>
            <w:noProof/>
            <w:webHidden/>
          </w:rPr>
        </w:r>
        <w:r w:rsidR="00097070">
          <w:rPr>
            <w:noProof/>
            <w:webHidden/>
          </w:rPr>
          <w:fldChar w:fldCharType="separate"/>
        </w:r>
        <w:r w:rsidR="00097070">
          <w:rPr>
            <w:noProof/>
            <w:webHidden/>
          </w:rPr>
          <w:t>6</w:t>
        </w:r>
        <w:r w:rsidR="00097070">
          <w:rPr>
            <w:noProof/>
            <w:webHidden/>
          </w:rPr>
          <w:fldChar w:fldCharType="end"/>
        </w:r>
      </w:hyperlink>
    </w:p>
    <w:p w:rsidR="00097070" w:rsidRDefault="00327DB3">
      <w:pPr>
        <w:pStyle w:val="TOC1"/>
        <w:tabs>
          <w:tab w:val="right" w:leader="dot" w:pos="10214"/>
        </w:tabs>
        <w:rPr>
          <w:rFonts w:eastAsiaTheme="minorEastAsia"/>
          <w:noProof/>
        </w:rPr>
      </w:pPr>
      <w:hyperlink w:anchor="_Toc29571006" w:history="1">
        <w:r w:rsidR="00097070" w:rsidRPr="006A1D37">
          <w:rPr>
            <w:rStyle w:val="Hyperlink"/>
            <w:noProof/>
          </w:rPr>
          <w:t>Section 4: Initial Pricing Structure and Pricing Levels</w:t>
        </w:r>
        <w:r w:rsidR="00097070">
          <w:rPr>
            <w:noProof/>
            <w:webHidden/>
          </w:rPr>
          <w:tab/>
        </w:r>
        <w:r w:rsidR="00097070">
          <w:rPr>
            <w:noProof/>
            <w:webHidden/>
          </w:rPr>
          <w:fldChar w:fldCharType="begin"/>
        </w:r>
        <w:r w:rsidR="00097070">
          <w:rPr>
            <w:noProof/>
            <w:webHidden/>
          </w:rPr>
          <w:instrText xml:space="preserve"> PAGEREF _Toc29571006 \h </w:instrText>
        </w:r>
        <w:r w:rsidR="00097070">
          <w:rPr>
            <w:noProof/>
            <w:webHidden/>
          </w:rPr>
        </w:r>
        <w:r w:rsidR="00097070">
          <w:rPr>
            <w:noProof/>
            <w:webHidden/>
          </w:rPr>
          <w:fldChar w:fldCharType="separate"/>
        </w:r>
        <w:r w:rsidR="00097070">
          <w:rPr>
            <w:noProof/>
            <w:webHidden/>
          </w:rPr>
          <w:t>6</w:t>
        </w:r>
        <w:r w:rsidR="00097070">
          <w:rPr>
            <w:noProof/>
            <w:webHidden/>
          </w:rPr>
          <w:fldChar w:fldCharType="end"/>
        </w:r>
      </w:hyperlink>
    </w:p>
    <w:p w:rsidR="00097070" w:rsidRDefault="00327DB3">
      <w:pPr>
        <w:pStyle w:val="TOC2"/>
        <w:tabs>
          <w:tab w:val="right" w:leader="dot" w:pos="10214"/>
        </w:tabs>
        <w:rPr>
          <w:rFonts w:eastAsiaTheme="minorEastAsia"/>
          <w:noProof/>
        </w:rPr>
      </w:pPr>
      <w:hyperlink w:anchor="_Toc29571007" w:history="1">
        <w:r w:rsidR="00097070" w:rsidRPr="006A1D37">
          <w:rPr>
            <w:rStyle w:val="Hyperlink"/>
            <w:noProof/>
          </w:rPr>
          <w:t>Section 4.1: Process Concerns</w:t>
        </w:r>
        <w:r w:rsidR="00097070">
          <w:rPr>
            <w:noProof/>
            <w:webHidden/>
          </w:rPr>
          <w:tab/>
        </w:r>
        <w:r w:rsidR="00097070">
          <w:rPr>
            <w:noProof/>
            <w:webHidden/>
          </w:rPr>
          <w:fldChar w:fldCharType="begin"/>
        </w:r>
        <w:r w:rsidR="00097070">
          <w:rPr>
            <w:noProof/>
            <w:webHidden/>
          </w:rPr>
          <w:instrText xml:space="preserve"> PAGEREF _Toc29571007 \h </w:instrText>
        </w:r>
        <w:r w:rsidR="00097070">
          <w:rPr>
            <w:noProof/>
            <w:webHidden/>
          </w:rPr>
        </w:r>
        <w:r w:rsidR="00097070">
          <w:rPr>
            <w:noProof/>
            <w:webHidden/>
          </w:rPr>
          <w:fldChar w:fldCharType="separate"/>
        </w:r>
        <w:r w:rsidR="00097070">
          <w:rPr>
            <w:noProof/>
            <w:webHidden/>
          </w:rPr>
          <w:t>7</w:t>
        </w:r>
        <w:r w:rsidR="00097070">
          <w:rPr>
            <w:noProof/>
            <w:webHidden/>
          </w:rPr>
          <w:fldChar w:fldCharType="end"/>
        </w:r>
      </w:hyperlink>
    </w:p>
    <w:p w:rsidR="00097070" w:rsidRDefault="00327DB3">
      <w:pPr>
        <w:pStyle w:val="TOC2"/>
        <w:tabs>
          <w:tab w:val="right" w:leader="dot" w:pos="10214"/>
        </w:tabs>
        <w:rPr>
          <w:rFonts w:eastAsiaTheme="minorEastAsia"/>
          <w:noProof/>
        </w:rPr>
      </w:pPr>
      <w:hyperlink w:anchor="_Toc29571008" w:history="1">
        <w:r w:rsidR="00097070" w:rsidRPr="006A1D37">
          <w:rPr>
            <w:rStyle w:val="Hyperlink"/>
            <w:noProof/>
          </w:rPr>
          <w:t>Section 4.2: Price Structure and Price Level Recommendations</w:t>
        </w:r>
        <w:r w:rsidR="00097070">
          <w:rPr>
            <w:noProof/>
            <w:webHidden/>
          </w:rPr>
          <w:tab/>
        </w:r>
        <w:r w:rsidR="00097070">
          <w:rPr>
            <w:noProof/>
            <w:webHidden/>
          </w:rPr>
          <w:fldChar w:fldCharType="begin"/>
        </w:r>
        <w:r w:rsidR="00097070">
          <w:rPr>
            <w:noProof/>
            <w:webHidden/>
          </w:rPr>
          <w:instrText xml:space="preserve"> PAGEREF _Toc29571008 \h </w:instrText>
        </w:r>
        <w:r w:rsidR="00097070">
          <w:rPr>
            <w:noProof/>
            <w:webHidden/>
          </w:rPr>
        </w:r>
        <w:r w:rsidR="00097070">
          <w:rPr>
            <w:noProof/>
            <w:webHidden/>
          </w:rPr>
          <w:fldChar w:fldCharType="separate"/>
        </w:r>
        <w:r w:rsidR="00097070">
          <w:rPr>
            <w:noProof/>
            <w:webHidden/>
          </w:rPr>
          <w:t>7</w:t>
        </w:r>
        <w:r w:rsidR="00097070">
          <w:rPr>
            <w:noProof/>
            <w:webHidden/>
          </w:rPr>
          <w:fldChar w:fldCharType="end"/>
        </w:r>
      </w:hyperlink>
    </w:p>
    <w:p w:rsidR="00097070" w:rsidRDefault="00327DB3">
      <w:pPr>
        <w:pStyle w:val="TOC1"/>
        <w:tabs>
          <w:tab w:val="right" w:leader="dot" w:pos="10214"/>
        </w:tabs>
        <w:rPr>
          <w:rFonts w:eastAsiaTheme="minorEastAsia"/>
          <w:noProof/>
        </w:rPr>
      </w:pPr>
      <w:hyperlink w:anchor="_Toc29571009" w:history="1">
        <w:r w:rsidR="00097070" w:rsidRPr="006A1D37">
          <w:rPr>
            <w:rStyle w:val="Hyperlink"/>
            <w:noProof/>
          </w:rPr>
          <w:t>Section 5:  Glossary</w:t>
        </w:r>
        <w:r w:rsidR="00097070">
          <w:rPr>
            <w:noProof/>
            <w:webHidden/>
          </w:rPr>
          <w:tab/>
        </w:r>
        <w:r w:rsidR="00097070">
          <w:rPr>
            <w:noProof/>
            <w:webHidden/>
          </w:rPr>
          <w:fldChar w:fldCharType="begin"/>
        </w:r>
        <w:r w:rsidR="00097070">
          <w:rPr>
            <w:noProof/>
            <w:webHidden/>
          </w:rPr>
          <w:instrText xml:space="preserve"> PAGEREF _Toc29571009 \h </w:instrText>
        </w:r>
        <w:r w:rsidR="00097070">
          <w:rPr>
            <w:noProof/>
            <w:webHidden/>
          </w:rPr>
        </w:r>
        <w:r w:rsidR="00097070">
          <w:rPr>
            <w:noProof/>
            <w:webHidden/>
          </w:rPr>
          <w:fldChar w:fldCharType="separate"/>
        </w:r>
        <w:r w:rsidR="00097070">
          <w:rPr>
            <w:noProof/>
            <w:webHidden/>
          </w:rPr>
          <w:t>9</w:t>
        </w:r>
        <w:r w:rsidR="00097070">
          <w:rPr>
            <w:noProof/>
            <w:webHidden/>
          </w:rPr>
          <w:fldChar w:fldCharType="end"/>
        </w:r>
      </w:hyperlink>
    </w:p>
    <w:p w:rsidR="00097070" w:rsidRPr="00097070" w:rsidRDefault="00097070" w:rsidP="00097070">
      <w:pPr>
        <w:jc w:val="center"/>
        <w:rPr>
          <w:b/>
          <w:sz w:val="24"/>
          <w:szCs w:val="24"/>
        </w:rPr>
      </w:pPr>
      <w:r>
        <w:rPr>
          <w:b/>
          <w:sz w:val="24"/>
          <w:szCs w:val="24"/>
        </w:rPr>
        <w:fldChar w:fldCharType="end"/>
      </w:r>
    </w:p>
    <w:p w:rsidR="007A4A67" w:rsidRDefault="007A4A67" w:rsidP="00BF4809"/>
    <w:p w:rsidR="00BF4809" w:rsidRPr="007A4A67" w:rsidRDefault="00BF4809" w:rsidP="00BF4809"/>
    <w:p w:rsidR="00BF4809" w:rsidRDefault="00BF4809">
      <w:pPr>
        <w:rPr>
          <w:rFonts w:eastAsiaTheme="majorEastAsia" w:cstheme="minorHAnsi"/>
          <w:b/>
          <w:sz w:val="24"/>
          <w:szCs w:val="24"/>
        </w:rPr>
      </w:pPr>
      <w:r>
        <w:br w:type="page"/>
      </w:r>
    </w:p>
    <w:p w:rsidR="003E1618" w:rsidRPr="009D55AB" w:rsidRDefault="007D6243" w:rsidP="009D55AB">
      <w:pPr>
        <w:pStyle w:val="Heading1"/>
      </w:pPr>
      <w:bookmarkStart w:id="2" w:name="_Toc29568354"/>
      <w:bookmarkStart w:id="3" w:name="_Toc29570999"/>
      <w:r w:rsidRPr="009D55AB">
        <w:lastRenderedPageBreak/>
        <w:t xml:space="preserve">Section 1: </w:t>
      </w:r>
      <w:r w:rsidR="00B95472" w:rsidRPr="009D55AB">
        <w:t>Executive Summary</w:t>
      </w:r>
      <w:bookmarkEnd w:id="2"/>
      <w:bookmarkEnd w:id="3"/>
    </w:p>
    <w:p w:rsidR="00BF4809" w:rsidRPr="00BF4809" w:rsidRDefault="00BF4809" w:rsidP="00BF4809">
      <w:pPr>
        <w:pStyle w:val="NoSpacing"/>
        <w:spacing w:after="200" w:line="276" w:lineRule="auto"/>
      </w:pPr>
      <w:r w:rsidRPr="00BF4809">
        <w:t>The establishment of a national Reassigned Numbers Database (RND) will, to quote FCC Chairman Pai, provide “a solution that will reduce the number of mistaken calls to reassigned numbers.”</w:t>
      </w:r>
      <w:r w:rsidRPr="00BF4809">
        <w:rPr>
          <w:vertAlign w:val="superscript"/>
        </w:rPr>
        <w:footnoteReference w:id="1"/>
      </w:r>
      <w:r w:rsidRPr="00BF4809">
        <w:rPr>
          <w:vertAlign w:val="superscript"/>
        </w:rPr>
        <w:t xml:space="preserve"> </w:t>
      </w:r>
      <w:r w:rsidRPr="00BF4809">
        <w:t xml:space="preserve"> In order to help achieve that objective, the </w:t>
      </w:r>
      <w:r w:rsidR="00400D37" w:rsidRPr="00BF4809">
        <w:t>North American Numbering Council (NANC)</w:t>
      </w:r>
      <w:r w:rsidR="00400D37">
        <w:t xml:space="preserve">, through its </w:t>
      </w:r>
      <w:r w:rsidRPr="00BF4809">
        <w:t>Numbering Administration Oversight Working Group (NAOWG)</w:t>
      </w:r>
      <w:r w:rsidR="00400D37">
        <w:t>,</w:t>
      </w:r>
      <w:r w:rsidRPr="00BF4809">
        <w:t xml:space="preserve"> considered and analyzed various approaches pursuant to direction provided, and recommendations sought, by the Commission within FCC 18-177.</w:t>
      </w:r>
      <w:r w:rsidR="00400D37">
        <w:rPr>
          <w:rStyle w:val="FootnoteReference"/>
        </w:rPr>
        <w:footnoteReference w:id="2"/>
      </w:r>
      <w:r w:rsidRPr="00BF4809">
        <w:t xml:space="preserve">  This set of recommendations is the result of that effort.</w:t>
      </w:r>
    </w:p>
    <w:p w:rsidR="00BF4809" w:rsidRPr="00BF4809" w:rsidRDefault="00BF4809" w:rsidP="00214E64">
      <w:pPr>
        <w:pStyle w:val="NoSpacing"/>
        <w:spacing w:after="200" w:line="276" w:lineRule="auto"/>
      </w:pPr>
      <w:r w:rsidRPr="00BF4809">
        <w:t xml:space="preserve">FCC 18-177 requires </w:t>
      </w:r>
      <w:r w:rsidR="00400D37">
        <w:t>S</w:t>
      </w:r>
      <w:r w:rsidRPr="00BF4809">
        <w:t xml:space="preserve">ervice </w:t>
      </w:r>
      <w:r w:rsidR="00400D37">
        <w:t>P</w:t>
      </w:r>
      <w:r w:rsidRPr="00BF4809">
        <w:t xml:space="preserve">roviders to fund the creation of the RND, and requires their subsequent repayment through processes overseen by an RND Administrator that will be selected by the Commission through a bidding process.  Further, that Order seeks from the NANC guidance on costing and pricing structures that would enable wide scale use of the RND by </w:t>
      </w:r>
      <w:r w:rsidR="00400D37">
        <w:t>c</w:t>
      </w:r>
      <w:r w:rsidRPr="00BF4809">
        <w:t xml:space="preserve">allers (Users), and seeks guidance on ways to encourage the establishment of the RNDA’s systems and processes in order for the RND to begin operating as quickly and economically as possible. </w:t>
      </w:r>
      <w:r w:rsidR="00C944C2">
        <w:t>T</w:t>
      </w:r>
      <w:r w:rsidRPr="00BF4809">
        <w:t xml:space="preserve">he </w:t>
      </w:r>
      <w:r w:rsidR="00400D37" w:rsidRPr="00BF4809">
        <w:t>NA</w:t>
      </w:r>
      <w:r w:rsidR="00400D37">
        <w:t>NC</w:t>
      </w:r>
      <w:r w:rsidR="00400D37" w:rsidRPr="00BF4809">
        <w:t xml:space="preserve"> </w:t>
      </w:r>
      <w:r w:rsidRPr="00BF4809">
        <w:t xml:space="preserve">encountered a dearth of relevant information necessary to develop the level of detail that it desired to include within its recommendations.  For example, at present there is insufficient empirical information that may be used to establish specific RND funding and pricing levels.  Certain fundamental differences between the existing Federal Do-Not-Call (DNC) Registry and the proposed RND, as well as a lack of available public cost information associated with the initial establishment and ongoing operation of the DNC Registry, inhibited the development of detailed comparisons that could be used in the development of RND-related recommendations.  </w:t>
      </w:r>
    </w:p>
    <w:p w:rsidR="00BF4809" w:rsidRPr="00BF4809" w:rsidRDefault="00BF4809" w:rsidP="00BF4809">
      <w:pPr>
        <w:pStyle w:val="NoSpacing"/>
        <w:spacing w:after="200" w:line="276" w:lineRule="auto"/>
      </w:pPr>
      <w:r w:rsidRPr="00BF4809">
        <w:t xml:space="preserve">Hence, while neither specific dollar amounts necessary to fund the establishment of the RND, nor to operate and ensure recovery and reimbursement are presently determinable, </w:t>
      </w:r>
      <w:r w:rsidR="00214E64">
        <w:t xml:space="preserve">the </w:t>
      </w:r>
      <w:r w:rsidRPr="00BF4809">
        <w:t>processes</w:t>
      </w:r>
      <w:r w:rsidR="00214E64">
        <w:t xml:space="preserve"> </w:t>
      </w:r>
      <w:r w:rsidR="00C944C2">
        <w:t xml:space="preserve">and an exemplary </w:t>
      </w:r>
      <w:r w:rsidR="00214E64">
        <w:t>t</w:t>
      </w:r>
      <w:r w:rsidR="00C944C2">
        <w:t xml:space="preserve">ier </w:t>
      </w:r>
      <w:r w:rsidR="00214E64">
        <w:t>s</w:t>
      </w:r>
      <w:r w:rsidR="00C944C2">
        <w:t>chedule</w:t>
      </w:r>
      <w:r w:rsidR="00214E64">
        <w:t xml:space="preserve"> for query pricing</w:t>
      </w:r>
      <w:r w:rsidR="00C944C2">
        <w:t xml:space="preserve"> </w:t>
      </w:r>
      <w:r w:rsidRPr="00BF4809">
        <w:t xml:space="preserve">were identified and </w:t>
      </w:r>
      <w:r w:rsidR="00C944C2">
        <w:t>provided</w:t>
      </w:r>
      <w:r w:rsidR="00214E64">
        <w:t xml:space="preserve"> in </w:t>
      </w:r>
      <w:r w:rsidRPr="00BF4809">
        <w:t>the recommendations that follow.</w:t>
      </w:r>
    </w:p>
    <w:p w:rsidR="00635AF6" w:rsidRPr="009D55AB" w:rsidRDefault="007D6243" w:rsidP="009D55AB">
      <w:pPr>
        <w:pStyle w:val="Heading1"/>
      </w:pPr>
      <w:bookmarkStart w:id="4" w:name="_Toc29568355"/>
      <w:bookmarkStart w:id="5" w:name="_Toc29571000"/>
      <w:r w:rsidRPr="009D55AB">
        <w:t xml:space="preserve">Section 2: </w:t>
      </w:r>
      <w:r w:rsidR="00B95472" w:rsidRPr="009D55AB">
        <w:t xml:space="preserve">Introduction and </w:t>
      </w:r>
      <w:r w:rsidR="00635AF6" w:rsidRPr="00635AF6">
        <w:t>Background</w:t>
      </w:r>
      <w:bookmarkEnd w:id="4"/>
      <w:bookmarkEnd w:id="5"/>
    </w:p>
    <w:p w:rsidR="000C1F03" w:rsidRDefault="007826E1" w:rsidP="00541F92">
      <w:r>
        <w:t>At the direction of the FCC, (</w:t>
      </w:r>
      <w:r w:rsidR="00677F44">
        <w:t>In FCC 18-177 CC Docket 17-159</w:t>
      </w:r>
      <w:r>
        <w:t>)</w:t>
      </w:r>
      <w:r w:rsidR="00677F44">
        <w:t>,  the N</w:t>
      </w:r>
      <w:r w:rsidR="009D09EC">
        <w:t xml:space="preserve">orth American Numbering Council’s (NANC’s) Numbering </w:t>
      </w:r>
      <w:r w:rsidR="00677F44">
        <w:t>A</w:t>
      </w:r>
      <w:r w:rsidR="009D09EC">
        <w:t xml:space="preserve">dministration </w:t>
      </w:r>
      <w:r w:rsidR="00677F44">
        <w:t>O</w:t>
      </w:r>
      <w:r w:rsidR="009D09EC">
        <w:t xml:space="preserve">versight Working </w:t>
      </w:r>
      <w:r w:rsidR="00677F44">
        <w:t>G</w:t>
      </w:r>
      <w:r w:rsidR="009D09EC">
        <w:t>roup (NAOWG)</w:t>
      </w:r>
      <w:r w:rsidR="00677F44">
        <w:t xml:space="preserve"> </w:t>
      </w:r>
      <w:r>
        <w:t xml:space="preserve">was tasked </w:t>
      </w:r>
      <w:r w:rsidR="00677F44">
        <w:t>with making recommendations on a series of questions relating to the design and operation of the R</w:t>
      </w:r>
      <w:r w:rsidR="009D09EC">
        <w:t>eassigned Numbers Database (RND)</w:t>
      </w:r>
      <w:r w:rsidR="00677F44">
        <w:t>.</w:t>
      </w:r>
      <w:r w:rsidR="00677F44">
        <w:rPr>
          <w:rStyle w:val="FootnoteReference"/>
        </w:rPr>
        <w:footnoteReference w:id="3"/>
      </w:r>
      <w:r w:rsidR="00677F44">
        <w:t xml:space="preserve">  </w:t>
      </w:r>
      <w:r w:rsidR="009D09EC">
        <w:t>In this report</w:t>
      </w:r>
      <w:r w:rsidR="00062488">
        <w:t xml:space="preserve">, the </w:t>
      </w:r>
      <w:r w:rsidR="00E448B3">
        <w:t xml:space="preserve">NANC </w:t>
      </w:r>
      <w:r w:rsidR="00062488">
        <w:t>provides the following recommendation</w:t>
      </w:r>
      <w:r w:rsidR="00677F44">
        <w:t>s</w:t>
      </w:r>
      <w:r w:rsidR="00062488">
        <w:t xml:space="preserve"> for</w:t>
      </w:r>
      <w:r w:rsidR="000C1F03">
        <w:t>:</w:t>
      </w:r>
    </w:p>
    <w:p w:rsidR="000C1F03" w:rsidRDefault="00062488" w:rsidP="006B6A49">
      <w:pPr>
        <w:pStyle w:val="ListParagraph"/>
        <w:numPr>
          <w:ilvl w:val="0"/>
          <w:numId w:val="6"/>
        </w:numPr>
      </w:pPr>
      <w:r>
        <w:t xml:space="preserve">the </w:t>
      </w:r>
      <w:r w:rsidR="009D09EC">
        <w:t>F</w:t>
      </w:r>
      <w:r>
        <w:t xml:space="preserve">unding and </w:t>
      </w:r>
      <w:r w:rsidR="009D09EC">
        <w:t>R</w:t>
      </w:r>
      <w:r w:rsidR="0093494C">
        <w:t>epayment</w:t>
      </w:r>
      <w:r>
        <w:t xml:space="preserve"> </w:t>
      </w:r>
      <w:r w:rsidR="009D09EC">
        <w:t xml:space="preserve">of </w:t>
      </w:r>
      <w:r>
        <w:t xml:space="preserve">the </w:t>
      </w:r>
      <w:r w:rsidR="009D09EC">
        <w:t>C</w:t>
      </w:r>
      <w:r w:rsidR="0093494C">
        <w:t xml:space="preserve">reation </w:t>
      </w:r>
      <w:r w:rsidR="009D09EC">
        <w:t>C</w:t>
      </w:r>
      <w:r w:rsidR="00B95472">
        <w:t xml:space="preserve">osts </w:t>
      </w:r>
      <w:r>
        <w:t>of the RND</w:t>
      </w:r>
    </w:p>
    <w:p w:rsidR="00677F44" w:rsidRPr="000C1F03" w:rsidRDefault="006B6A49" w:rsidP="006B6A49">
      <w:pPr>
        <w:pStyle w:val="ListParagraph"/>
        <w:numPr>
          <w:ilvl w:val="0"/>
          <w:numId w:val="6"/>
        </w:numPr>
        <w:rPr>
          <w:rFonts w:ascii="Times New Roman" w:hAnsi="Times New Roman" w:cs="Times New Roman"/>
          <w:sz w:val="24"/>
          <w:szCs w:val="24"/>
        </w:rPr>
      </w:pPr>
      <w:r>
        <w:t>The</w:t>
      </w:r>
      <w:r w:rsidR="009D09EC">
        <w:t xml:space="preserve"> Initial Pricing Structure and Pricing L</w:t>
      </w:r>
      <w:r w:rsidR="00677F44">
        <w:t>evels that could be applicable to use for the RND</w:t>
      </w:r>
      <w:r w:rsidR="00062488">
        <w:t xml:space="preserve">. </w:t>
      </w:r>
      <w:r w:rsidR="009D09EC">
        <w:t xml:space="preserve"> </w:t>
      </w:r>
    </w:p>
    <w:p w:rsidR="00677F44" w:rsidRPr="009D55AB" w:rsidRDefault="007D6243" w:rsidP="009D55AB">
      <w:pPr>
        <w:pStyle w:val="Heading1"/>
      </w:pPr>
      <w:bookmarkStart w:id="6" w:name="_Toc29568356"/>
      <w:bookmarkStart w:id="7" w:name="_Toc29571001"/>
      <w:r w:rsidRPr="009D55AB">
        <w:t xml:space="preserve">Section 3: </w:t>
      </w:r>
      <w:r w:rsidR="00677F44" w:rsidRPr="009D55AB">
        <w:t>Funding and Repayment of Creation Costs of the RND</w:t>
      </w:r>
      <w:bookmarkEnd w:id="6"/>
      <w:bookmarkEnd w:id="7"/>
    </w:p>
    <w:p w:rsidR="00B564AC" w:rsidRDefault="00120D7A">
      <w:r>
        <w:t xml:space="preserve">In this section, the NANC provides recommendations for the funding and repayment of the creation costs of the RND. </w:t>
      </w:r>
      <w:r w:rsidR="00062488">
        <w:t xml:space="preserve">FCC 18-177 </w:t>
      </w:r>
      <w:r w:rsidR="0023365F">
        <w:t xml:space="preserve">indicated that </w:t>
      </w:r>
      <w:r w:rsidR="009D42A3">
        <w:t>cost efficiencies may be achieved by the merging of the RND administration with the NANPA/PA</w:t>
      </w:r>
      <w:r w:rsidR="00A44C0C">
        <w:rPr>
          <w:rStyle w:val="FootnoteReference"/>
        </w:rPr>
        <w:footnoteReference w:id="4"/>
      </w:r>
      <w:r w:rsidR="00A44C0C">
        <w:t xml:space="preserve"> and </w:t>
      </w:r>
      <w:r w:rsidR="000D6FB4">
        <w:t xml:space="preserve">that it may be </w:t>
      </w:r>
      <w:r w:rsidR="00A44C0C">
        <w:t>the most cost efficient way of administering the database</w:t>
      </w:r>
      <w:r w:rsidR="009D42A3">
        <w:t>.</w:t>
      </w:r>
      <w:r w:rsidR="009D42A3">
        <w:rPr>
          <w:rStyle w:val="FootnoteReference"/>
        </w:rPr>
        <w:footnoteReference w:id="5"/>
      </w:r>
      <w:r w:rsidR="009D42A3">
        <w:t xml:space="preserve">  In doing so</w:t>
      </w:r>
      <w:r w:rsidR="0019505E">
        <w:t>,</w:t>
      </w:r>
      <w:r w:rsidR="009D42A3">
        <w:t xml:space="preserve"> the </w:t>
      </w:r>
      <w:r w:rsidR="00E448B3">
        <w:t xml:space="preserve">NANC </w:t>
      </w:r>
      <w:r w:rsidR="009D42A3">
        <w:t>provides the following recommendation</w:t>
      </w:r>
      <w:r w:rsidR="000D6FB4">
        <w:t xml:space="preserve">s relative to the Service Provider contributions to </w:t>
      </w:r>
      <w:r w:rsidR="00E448B3">
        <w:t xml:space="preserve">fund </w:t>
      </w:r>
      <w:r w:rsidR="000D6FB4">
        <w:t xml:space="preserve">the RND creation costs, </w:t>
      </w:r>
      <w:r w:rsidR="009D09EC">
        <w:t xml:space="preserve">and then </w:t>
      </w:r>
      <w:r w:rsidR="000D6FB4">
        <w:t>later repayment of those contributions to those Service Providers.</w:t>
      </w:r>
      <w:r w:rsidR="009D42A3">
        <w:t xml:space="preserve"> </w:t>
      </w:r>
      <w:r w:rsidR="000D6FB4">
        <w:t xml:space="preserve">  The </w:t>
      </w:r>
      <w:r w:rsidR="00C80A52">
        <w:lastRenderedPageBreak/>
        <w:t>r</w:t>
      </w:r>
      <w:r w:rsidR="000D6FB4">
        <w:t xml:space="preserve">ecommendations are </w:t>
      </w:r>
      <w:r w:rsidR="009D42A3">
        <w:t xml:space="preserve">consistent with </w:t>
      </w:r>
      <w:r w:rsidR="000D6FB4">
        <w:t xml:space="preserve">use of </w:t>
      </w:r>
      <w:r w:rsidR="009D42A3">
        <w:t xml:space="preserve">the existing process for </w:t>
      </w:r>
      <w:r w:rsidR="005D34FE">
        <w:t>the NANP Fund</w:t>
      </w:r>
      <w:r w:rsidR="005D34FE">
        <w:rPr>
          <w:rStyle w:val="FootnoteReference"/>
        </w:rPr>
        <w:footnoteReference w:id="6"/>
      </w:r>
      <w:r w:rsidR="005D34FE">
        <w:t xml:space="preserve">, </w:t>
      </w:r>
      <w:r w:rsidR="000D6FB4">
        <w:t xml:space="preserve">to both collect from and later repay to </w:t>
      </w:r>
      <w:r w:rsidR="00CD383B">
        <w:t>Service Provider</w:t>
      </w:r>
      <w:r w:rsidR="000D6FB4">
        <w:t>s the</w:t>
      </w:r>
      <w:r w:rsidR="00CD383B">
        <w:t xml:space="preserve"> </w:t>
      </w:r>
      <w:r w:rsidR="009D42A3">
        <w:t>cost</w:t>
      </w:r>
      <w:r w:rsidR="000D6FB4">
        <w:t>s of RND creation</w:t>
      </w:r>
      <w:r w:rsidR="00A12DFB">
        <w:t>.</w:t>
      </w:r>
      <w:r w:rsidR="009D42A3">
        <w:rPr>
          <w:rStyle w:val="FootnoteReference"/>
        </w:rPr>
        <w:footnoteReference w:id="7"/>
      </w:r>
      <w:r w:rsidR="009D42A3">
        <w:t xml:space="preserve">  </w:t>
      </w:r>
      <w:r w:rsidR="00A12DFB">
        <w:t>The current</w:t>
      </w:r>
      <w:r w:rsidR="009D42A3">
        <w:t xml:space="preserve"> NANP </w:t>
      </w:r>
      <w:r w:rsidR="005D34FE">
        <w:t>F</w:t>
      </w:r>
      <w:r w:rsidR="009D42A3">
        <w:t xml:space="preserve">und process entails the annual development of a contribution factor where </w:t>
      </w:r>
      <w:r w:rsidR="00CD383B">
        <w:t>S</w:t>
      </w:r>
      <w:r w:rsidR="009D42A3">
        <w:t xml:space="preserve">ervice </w:t>
      </w:r>
      <w:r w:rsidR="00CD383B">
        <w:t>P</w:t>
      </w:r>
      <w:r w:rsidR="009D42A3">
        <w:t xml:space="preserve">roviders fund the costs associated with the NANPA/PA </w:t>
      </w:r>
      <w:r w:rsidR="00181211">
        <w:t xml:space="preserve">and Billing &amp; Collection (B&amp;C) Agent </w:t>
      </w:r>
      <w:r w:rsidR="009D42A3">
        <w:t xml:space="preserve">functions based upon the </w:t>
      </w:r>
      <w:r w:rsidR="00181211">
        <w:t>S</w:t>
      </w:r>
      <w:r w:rsidR="009D42A3">
        <w:t xml:space="preserve">ervice </w:t>
      </w:r>
      <w:r w:rsidR="00181211">
        <w:t>P</w:t>
      </w:r>
      <w:r w:rsidR="009D42A3">
        <w:t xml:space="preserve">rovider’s </w:t>
      </w:r>
      <w:r w:rsidR="00E822EC">
        <w:t>portion of the industry’s overall revenue</w:t>
      </w:r>
      <w:r w:rsidR="00181211">
        <w:t>s</w:t>
      </w:r>
      <w:r w:rsidR="00E822EC">
        <w:t xml:space="preserve"> as reported </w:t>
      </w:r>
      <w:r w:rsidR="00950BAF">
        <w:t xml:space="preserve">collectively </w:t>
      </w:r>
      <w:r w:rsidR="00E822EC">
        <w:t xml:space="preserve">on the FCC’s Form 499a. </w:t>
      </w:r>
      <w:r w:rsidR="0019505E">
        <w:t xml:space="preserve"> </w:t>
      </w:r>
      <w:r w:rsidR="00E822EC">
        <w:t xml:space="preserve">This contribution factor is calculated by the B&amp;C </w:t>
      </w:r>
      <w:r w:rsidR="00181211">
        <w:t>A</w:t>
      </w:r>
      <w:r w:rsidR="00E822EC">
        <w:t xml:space="preserve">gent based upon the known NANPA/PA </w:t>
      </w:r>
      <w:r w:rsidR="00181211">
        <w:t xml:space="preserve">and B&amp;C </w:t>
      </w:r>
      <w:r w:rsidR="00E822EC">
        <w:t>contracted rate</w:t>
      </w:r>
      <w:r w:rsidR="00181211">
        <w:t>s,</w:t>
      </w:r>
      <w:r w:rsidR="00A12DFB">
        <w:t xml:space="preserve"> is initiated</w:t>
      </w:r>
      <w:r w:rsidR="00E822EC">
        <w:t xml:space="preserve"> in the spring and approved by the NANC in the second quarterly NANC meeting</w:t>
      </w:r>
      <w:r w:rsidR="00181211">
        <w:t>,</w:t>
      </w:r>
      <w:r w:rsidR="00B564AC">
        <w:rPr>
          <w:rStyle w:val="FootnoteReference"/>
        </w:rPr>
        <w:footnoteReference w:id="8"/>
      </w:r>
      <w:r w:rsidR="00E822EC">
        <w:t xml:space="preserve"> and</w:t>
      </w:r>
      <w:r w:rsidR="00181211">
        <w:t xml:space="preserve"> then</w:t>
      </w:r>
      <w:r w:rsidR="00E822EC">
        <w:t xml:space="preserve"> submitted to the FCC</w:t>
      </w:r>
      <w:r w:rsidR="00B564AC">
        <w:t xml:space="preserve">.  </w:t>
      </w:r>
      <w:r w:rsidR="00E822EC">
        <w:t xml:space="preserve">The contribution factor is then </w:t>
      </w:r>
      <w:r w:rsidR="00CD383B">
        <w:t>identified</w:t>
      </w:r>
      <w:r w:rsidR="00E822EC">
        <w:t xml:space="preserve"> in a</w:t>
      </w:r>
      <w:r w:rsidR="00181211">
        <w:t>n FCC</w:t>
      </w:r>
      <w:r w:rsidR="00E822EC">
        <w:t xml:space="preserve"> </w:t>
      </w:r>
      <w:r w:rsidR="00B564AC">
        <w:t>P</w:t>
      </w:r>
      <w:r w:rsidR="00E822EC">
        <w:t xml:space="preserve">ublic </w:t>
      </w:r>
      <w:r w:rsidR="00B564AC">
        <w:t>N</w:t>
      </w:r>
      <w:r w:rsidR="00E822EC">
        <w:t>otice</w:t>
      </w:r>
      <w:r w:rsidR="00181211">
        <w:t>, and</w:t>
      </w:r>
      <w:r w:rsidR="00E822EC">
        <w:t xml:space="preserve"> then implemented in</w:t>
      </w:r>
      <w:r w:rsidR="00A12DFB">
        <w:t xml:space="preserve"> the </w:t>
      </w:r>
      <w:r w:rsidR="00E822EC">
        <w:t>September</w:t>
      </w:r>
      <w:r w:rsidR="00A12DFB">
        <w:t>/October timeframe</w:t>
      </w:r>
      <w:r w:rsidR="00E822EC">
        <w:t xml:space="preserve"> where the B&amp;C Agent bills and collects the funds based upon each </w:t>
      </w:r>
      <w:r w:rsidR="00CD383B">
        <w:t>Service Provider</w:t>
      </w:r>
      <w:r w:rsidR="00E822EC">
        <w:t xml:space="preserve">’s portion of the </w:t>
      </w:r>
      <w:r w:rsidR="00B564AC">
        <w:t xml:space="preserve">known </w:t>
      </w:r>
      <w:r w:rsidR="00E822EC">
        <w:t>NANP</w:t>
      </w:r>
      <w:r w:rsidR="00181211">
        <w:t xml:space="preserve"> Fund </w:t>
      </w:r>
      <w:r w:rsidR="00E822EC">
        <w:t xml:space="preserve">costs.  </w:t>
      </w:r>
      <w:r w:rsidR="000D6FB4">
        <w:t>Continuing with t</w:t>
      </w:r>
      <w:r w:rsidR="00AD1135">
        <w:t xml:space="preserve">his process </w:t>
      </w:r>
      <w:r w:rsidR="000D6FB4">
        <w:t xml:space="preserve">and schedule </w:t>
      </w:r>
      <w:r w:rsidR="00AD1135">
        <w:t xml:space="preserve">allows for Service Providers to anticipate funding requirements during their standard budgeting intervals prior to the time that the funds will be needed and provides the B&amp;C </w:t>
      </w:r>
      <w:r w:rsidR="00181211">
        <w:t>A</w:t>
      </w:r>
      <w:r w:rsidR="00AD1135">
        <w:t xml:space="preserve">gent with the </w:t>
      </w:r>
      <w:r w:rsidR="000D6FB4">
        <w:t xml:space="preserve">required </w:t>
      </w:r>
      <w:r w:rsidR="00AD1135">
        <w:t>FCC Form 499a information</w:t>
      </w:r>
      <w:r w:rsidR="00181211">
        <w:t>.</w:t>
      </w:r>
      <w:r w:rsidR="00A12DFB">
        <w:rPr>
          <w:rStyle w:val="FootnoteReference"/>
        </w:rPr>
        <w:footnoteReference w:id="9"/>
      </w:r>
    </w:p>
    <w:p w:rsidR="00BA25C5" w:rsidRPr="009D55AB" w:rsidRDefault="007D6243" w:rsidP="009D55AB">
      <w:pPr>
        <w:pStyle w:val="Heading2"/>
      </w:pPr>
      <w:bookmarkStart w:id="8" w:name="_Toc29568357"/>
      <w:bookmarkStart w:id="9" w:name="_Toc29571002"/>
      <w:bookmarkStart w:id="10" w:name="_Hlk29280377"/>
      <w:r w:rsidRPr="009D55AB">
        <w:t xml:space="preserve">Section 3.1: </w:t>
      </w:r>
      <w:r w:rsidR="000D6FB4" w:rsidRPr="009D55AB">
        <w:t xml:space="preserve">Collecting </w:t>
      </w:r>
      <w:r w:rsidR="00BA25C5" w:rsidRPr="009D55AB">
        <w:t xml:space="preserve">RND </w:t>
      </w:r>
      <w:r w:rsidR="000D6FB4" w:rsidRPr="009D55AB">
        <w:t>Creation Cost Contributions from Service Providers</w:t>
      </w:r>
      <w:bookmarkEnd w:id="8"/>
      <w:bookmarkEnd w:id="9"/>
    </w:p>
    <w:bookmarkEnd w:id="10"/>
    <w:p w:rsidR="00236A55" w:rsidRDefault="00B564AC">
      <w:r>
        <w:t xml:space="preserve">The </w:t>
      </w:r>
      <w:r w:rsidR="00181211">
        <w:t xml:space="preserve">NANC </w:t>
      </w:r>
      <w:r>
        <w:t>recommends</w:t>
      </w:r>
      <w:r w:rsidR="000D6FB4">
        <w:t xml:space="preserve"> that</w:t>
      </w:r>
      <w:r>
        <w:t xml:space="preserve"> no changes to th</w:t>
      </w:r>
      <w:r w:rsidR="000D6FB4">
        <w:t>e</w:t>
      </w:r>
      <w:r>
        <w:t xml:space="preserve"> process</w:t>
      </w:r>
      <w:r w:rsidR="00BA25C5">
        <w:t xml:space="preserve"> or timing</w:t>
      </w:r>
      <w:r>
        <w:t xml:space="preserve"> </w:t>
      </w:r>
      <w:r w:rsidR="000D6FB4">
        <w:t>of the normal NANP</w:t>
      </w:r>
      <w:r w:rsidR="00181211">
        <w:t xml:space="preserve"> Fund</w:t>
      </w:r>
      <w:r w:rsidR="000D6FB4">
        <w:t xml:space="preserve"> contribution mechanism result </w:t>
      </w:r>
      <w:r w:rsidR="000713C2">
        <w:t>from the</w:t>
      </w:r>
      <w:r>
        <w:t xml:space="preserve"> </w:t>
      </w:r>
      <w:r w:rsidR="000D6FB4">
        <w:t xml:space="preserve">decision to </w:t>
      </w:r>
      <w:r w:rsidR="000713C2">
        <w:t>incorporate the</w:t>
      </w:r>
      <w:r>
        <w:t xml:space="preserve"> initial funding of the RND </w:t>
      </w:r>
      <w:r w:rsidR="000D6FB4">
        <w:t>creation into that contribution mechanism</w:t>
      </w:r>
      <w:r>
        <w:t xml:space="preserve">. </w:t>
      </w:r>
      <w:r w:rsidR="000A2696">
        <w:t xml:space="preserve">Due to the lack of basis for determining the costs of the RND </w:t>
      </w:r>
      <w:r w:rsidR="000D6FB4">
        <w:t>creation</w:t>
      </w:r>
      <w:r w:rsidR="000A2696">
        <w:t>, no dollar amount could be recommended for Service Providers to “fund” prior to contract award (or at least until receipt of proposals from possible vendors) and that instead</w:t>
      </w:r>
      <w:r w:rsidR="00181211">
        <w:t>,</w:t>
      </w:r>
      <w:r w:rsidR="000A2696">
        <w:t xml:space="preserve"> to the extent there is any advance payment of creation costs</w:t>
      </w:r>
      <w:r w:rsidR="00181211">
        <w:t>,</w:t>
      </w:r>
      <w:r w:rsidR="000A2696">
        <w:t xml:space="preserve"> it be based upon the amount bid by the winning vendor or be subsidized by the NANP </w:t>
      </w:r>
      <w:r w:rsidR="00181211">
        <w:t>F</w:t>
      </w:r>
      <w:r w:rsidR="000A2696">
        <w:t xml:space="preserve">und contingency funds. </w:t>
      </w:r>
      <w:r>
        <w:t xml:space="preserve"> Once the contracted </w:t>
      </w:r>
      <w:r w:rsidR="000713C2">
        <w:t xml:space="preserve">costs </w:t>
      </w:r>
      <w:r>
        <w:t>for the RND</w:t>
      </w:r>
      <w:r w:rsidR="00CD383B">
        <w:t xml:space="preserve"> </w:t>
      </w:r>
      <w:r w:rsidR="000D6FB4">
        <w:t>creation</w:t>
      </w:r>
      <w:r>
        <w:t xml:space="preserve"> have been determined, the B&amp;C </w:t>
      </w:r>
      <w:r w:rsidR="00181211">
        <w:t>A</w:t>
      </w:r>
      <w:r>
        <w:t xml:space="preserve">gent would </w:t>
      </w:r>
      <w:r w:rsidR="00CD383B">
        <w:t>calculate</w:t>
      </w:r>
      <w:r>
        <w:t xml:space="preserve"> two contribution factors, one </w:t>
      </w:r>
      <w:r w:rsidR="00CD383B">
        <w:t xml:space="preserve">that would be used to </w:t>
      </w:r>
      <w:r w:rsidR="008D440E">
        <w:t xml:space="preserve">collect funds </w:t>
      </w:r>
      <w:r>
        <w:t>for the start</w:t>
      </w:r>
      <w:r w:rsidR="00BA25C5">
        <w:t>-</w:t>
      </w:r>
      <w:r>
        <w:t xml:space="preserve">up costs </w:t>
      </w:r>
      <w:r w:rsidR="008D440E">
        <w:t>of</w:t>
      </w:r>
      <w:r>
        <w:t xml:space="preserve"> the initial </w:t>
      </w:r>
      <w:r w:rsidR="000D6FB4">
        <w:t xml:space="preserve">creation </w:t>
      </w:r>
      <w:r>
        <w:t>of the RND</w:t>
      </w:r>
      <w:r w:rsidR="00CD383B">
        <w:t xml:space="preserve"> system</w:t>
      </w:r>
      <w:r w:rsidR="00920695">
        <w:t>,</w:t>
      </w:r>
      <w:r>
        <w:t xml:space="preserve"> and a second contribution factor </w:t>
      </w:r>
      <w:r w:rsidR="008D440E">
        <w:t xml:space="preserve">for the funding </w:t>
      </w:r>
      <w:r>
        <w:t>of the</w:t>
      </w:r>
      <w:r w:rsidR="00635AF6">
        <w:t xml:space="preserve"> </w:t>
      </w:r>
      <w:r w:rsidR="0093494C">
        <w:t>creation (</w:t>
      </w:r>
      <w:r w:rsidR="00635AF6">
        <w:t>development</w:t>
      </w:r>
      <w:r w:rsidR="0093494C">
        <w:t>)</w:t>
      </w:r>
      <w:r w:rsidR="00635AF6">
        <w:t xml:space="preserve"> </w:t>
      </w:r>
      <w:r w:rsidR="008D440E">
        <w:t xml:space="preserve">costs of </w:t>
      </w:r>
      <w:r w:rsidR="00635AF6">
        <w:t>combin</w:t>
      </w:r>
      <w:r w:rsidR="00920695">
        <w:t>ing</w:t>
      </w:r>
      <w:r w:rsidR="00635AF6">
        <w:t xml:space="preserve"> </w:t>
      </w:r>
      <w:r w:rsidR="00920695">
        <w:t xml:space="preserve">the </w:t>
      </w:r>
      <w:r>
        <w:t>NANPA/PA</w:t>
      </w:r>
      <w:r w:rsidR="00635AF6">
        <w:t xml:space="preserve"> </w:t>
      </w:r>
      <w:r w:rsidR="00920695">
        <w:t xml:space="preserve">systems </w:t>
      </w:r>
      <w:r w:rsidR="00635AF6">
        <w:t xml:space="preserve">and the ongoing combined NANPA/PA </w:t>
      </w:r>
      <w:r w:rsidR="00CD383B">
        <w:t xml:space="preserve">annual </w:t>
      </w:r>
      <w:r w:rsidR="00635AF6">
        <w:t>operation</w:t>
      </w:r>
      <w:r w:rsidR="00486986">
        <w:t>s</w:t>
      </w:r>
      <w:r>
        <w:t xml:space="preserve"> costs</w:t>
      </w:r>
      <w:r w:rsidR="008D440E">
        <w:t xml:space="preserve">.  </w:t>
      </w:r>
      <w:r w:rsidR="00486986">
        <w:t xml:space="preserve">The RND </w:t>
      </w:r>
      <w:r w:rsidR="000D6FB4">
        <w:t xml:space="preserve">creation </w:t>
      </w:r>
      <w:r w:rsidR="00486986">
        <w:t xml:space="preserve">funding shall not include any ongoing administration costs of the RND. </w:t>
      </w:r>
      <w:r w:rsidR="008D440E">
        <w:t xml:space="preserve">These two contribution factors may be combined </w:t>
      </w:r>
      <w:r w:rsidR="000713C2">
        <w:t xml:space="preserve">on </w:t>
      </w:r>
      <w:r w:rsidR="008D440E">
        <w:t>the s</w:t>
      </w:r>
      <w:r w:rsidR="000713C2">
        <w:t xml:space="preserve">ame </w:t>
      </w:r>
      <w:r w:rsidR="008D440E">
        <w:t xml:space="preserve">bill </w:t>
      </w:r>
      <w:r w:rsidR="00920695">
        <w:t xml:space="preserve">from the B&amp;C Agent, but </w:t>
      </w:r>
      <w:r w:rsidR="000713C2">
        <w:t>will</w:t>
      </w:r>
      <w:r w:rsidR="002B71B5">
        <w:t xml:space="preserve"> include line item</w:t>
      </w:r>
      <w:r w:rsidR="0026249E">
        <w:t>ization</w:t>
      </w:r>
      <w:r w:rsidR="002B71B5">
        <w:t xml:space="preserve"> designating </w:t>
      </w:r>
      <w:r w:rsidR="00920695">
        <w:t xml:space="preserve">the separate </w:t>
      </w:r>
      <w:r w:rsidR="002B71B5">
        <w:t>RND and NANP</w:t>
      </w:r>
      <w:r w:rsidR="00920695">
        <w:t xml:space="preserve"> Fund</w:t>
      </w:r>
      <w:r w:rsidR="0026249E">
        <w:t xml:space="preserve"> </w:t>
      </w:r>
      <w:r w:rsidR="00920695">
        <w:t xml:space="preserve">contribution factors, </w:t>
      </w:r>
      <w:r w:rsidR="0026249E">
        <w:t>and</w:t>
      </w:r>
      <w:r w:rsidR="002B71B5">
        <w:t xml:space="preserve"> </w:t>
      </w:r>
      <w:r w:rsidR="008D440E">
        <w:t xml:space="preserve">remain distinct for accounting </w:t>
      </w:r>
      <w:r w:rsidR="00635AF6">
        <w:t xml:space="preserve">and RND </w:t>
      </w:r>
      <w:r w:rsidR="000D6FB4">
        <w:t>creation</w:t>
      </w:r>
      <w:r w:rsidR="00635AF6">
        <w:t xml:space="preserve"> cost </w:t>
      </w:r>
      <w:r w:rsidR="000D6FB4">
        <w:t xml:space="preserve">repayment </w:t>
      </w:r>
      <w:r w:rsidR="008D440E">
        <w:t xml:space="preserve">purposes.  Ongoing operation costs </w:t>
      </w:r>
      <w:r w:rsidR="00BA25C5">
        <w:t xml:space="preserve">after the establishment of the RND </w:t>
      </w:r>
      <w:r w:rsidR="00CD383B">
        <w:t>will</w:t>
      </w:r>
      <w:r w:rsidR="008D440E">
        <w:t xml:space="preserve"> be the responsibility of the RNDA.</w:t>
      </w:r>
      <w:r w:rsidR="008D440E">
        <w:rPr>
          <w:rStyle w:val="FootnoteReference"/>
        </w:rPr>
        <w:footnoteReference w:id="10"/>
      </w:r>
      <w:r w:rsidR="00E822EC">
        <w:t xml:space="preserve"> </w:t>
      </w:r>
      <w:r w:rsidR="009D42A3">
        <w:t xml:space="preserve"> </w:t>
      </w:r>
      <w:r w:rsidR="00BA25C5">
        <w:t xml:space="preserve">The calculation of the </w:t>
      </w:r>
      <w:r w:rsidR="00920695">
        <w:t xml:space="preserve">RND </w:t>
      </w:r>
      <w:r w:rsidR="00BA25C5">
        <w:t xml:space="preserve">contribution factor </w:t>
      </w:r>
      <w:r w:rsidR="00CD383B">
        <w:t>shall</w:t>
      </w:r>
      <w:r w:rsidR="00BA25C5">
        <w:t xml:space="preserve"> maintain the same schedule as is currently provided for funding </w:t>
      </w:r>
      <w:r w:rsidR="00635AF6">
        <w:t>of</w:t>
      </w:r>
      <w:r w:rsidR="00BA25C5">
        <w:t xml:space="preserve"> the NANP</w:t>
      </w:r>
      <w:r w:rsidR="00920695">
        <w:t xml:space="preserve"> Fund</w:t>
      </w:r>
      <w:r w:rsidR="00BA25C5">
        <w:t xml:space="preserve">.   </w:t>
      </w:r>
      <w:r w:rsidR="00AD1135">
        <w:t xml:space="preserve">This process will continue to accommodate the </w:t>
      </w:r>
      <w:r w:rsidR="00CD383B">
        <w:t>Service Provider</w:t>
      </w:r>
      <w:r w:rsidR="00920695">
        <w:t>s</w:t>
      </w:r>
      <w:r w:rsidR="00AD1135">
        <w:t xml:space="preserve">’ need to appropriately budget </w:t>
      </w:r>
      <w:r w:rsidR="00CD383B">
        <w:t xml:space="preserve">and provide funding </w:t>
      </w:r>
      <w:r w:rsidR="00AD1135">
        <w:t xml:space="preserve">for </w:t>
      </w:r>
      <w:r w:rsidR="00CD383B">
        <w:t>known NANP costs</w:t>
      </w:r>
      <w:r w:rsidR="00AD1135">
        <w:t xml:space="preserve">.  </w:t>
      </w:r>
    </w:p>
    <w:p w:rsidR="002228A2" w:rsidRDefault="00236A55">
      <w:r>
        <w:t>T</w:t>
      </w:r>
      <w:r w:rsidR="00AD1135">
        <w:t>he funding amoun</w:t>
      </w:r>
      <w:r>
        <w:t>t</w:t>
      </w:r>
      <w:r w:rsidR="00AD1135">
        <w:t xml:space="preserve"> will need to be known </w:t>
      </w:r>
      <w:r w:rsidR="00420678">
        <w:t>to the</w:t>
      </w:r>
      <w:r w:rsidR="002228A2">
        <w:t xml:space="preserve"> B&amp;C Agent and</w:t>
      </w:r>
      <w:r w:rsidR="00420678">
        <w:t xml:space="preserve"> </w:t>
      </w:r>
      <w:r w:rsidR="00CD383B">
        <w:t>Service Provider</w:t>
      </w:r>
      <w:r w:rsidR="00420678">
        <w:t xml:space="preserve">s </w:t>
      </w:r>
      <w:r w:rsidR="00AD1135">
        <w:t xml:space="preserve">in advance of the contribution factor calculation.  This </w:t>
      </w:r>
      <w:r w:rsidR="00BB597B">
        <w:t xml:space="preserve">funding amount </w:t>
      </w:r>
      <w:r w:rsidR="00AD1135">
        <w:t xml:space="preserve">will be required </w:t>
      </w:r>
      <w:r w:rsidR="00BB597B">
        <w:t>to be known</w:t>
      </w:r>
      <w:r w:rsidR="00635AF6">
        <w:t xml:space="preserve"> by </w:t>
      </w:r>
      <w:r w:rsidR="00CD383B">
        <w:t>Service Provider</w:t>
      </w:r>
      <w:r w:rsidR="00635AF6">
        <w:t>s</w:t>
      </w:r>
      <w:r w:rsidR="00BB597B">
        <w:t xml:space="preserve"> </w:t>
      </w:r>
      <w:r w:rsidR="00AD1135">
        <w:t xml:space="preserve">prior to November of the year prior to the calculation of the contribution factor.  This will allow the appropriate budgeting by </w:t>
      </w:r>
      <w:r w:rsidR="00CD383B">
        <w:t>Service Provider</w:t>
      </w:r>
      <w:r w:rsidR="00AD1135">
        <w:t>s</w:t>
      </w:r>
      <w:r w:rsidR="002228A2">
        <w:t xml:space="preserve"> and the basis for the B&amp;C </w:t>
      </w:r>
      <w:r w:rsidR="00920695">
        <w:t>A</w:t>
      </w:r>
      <w:r w:rsidR="002228A2">
        <w:t>gent to calculate the contribution factor</w:t>
      </w:r>
      <w:r w:rsidR="00AD1135">
        <w:t>.</w:t>
      </w:r>
      <w:r w:rsidR="00BB597B">
        <w:t xml:space="preserve">  </w:t>
      </w:r>
    </w:p>
    <w:p w:rsidR="00420678" w:rsidRDefault="00AD1135">
      <w:r>
        <w:t>It has been estimated that the R</w:t>
      </w:r>
      <w:r w:rsidR="00920695">
        <w:t xml:space="preserve">equest </w:t>
      </w:r>
      <w:r w:rsidR="00B53FDD">
        <w:t>for</w:t>
      </w:r>
      <w:r w:rsidR="00920695">
        <w:t xml:space="preserve"> Proposal (R</w:t>
      </w:r>
      <w:r>
        <w:t>FP</w:t>
      </w:r>
      <w:r w:rsidR="00920695">
        <w:t>)</w:t>
      </w:r>
      <w:r>
        <w:t xml:space="preserve"> resulting from this NANC </w:t>
      </w:r>
      <w:r w:rsidR="00920695">
        <w:t xml:space="preserve">RND </w:t>
      </w:r>
      <w:r w:rsidR="00236A55">
        <w:t>T</w:t>
      </w:r>
      <w:r w:rsidR="00920695">
        <w:t xml:space="preserve">echnical </w:t>
      </w:r>
      <w:r w:rsidR="00236A55">
        <w:t>R</w:t>
      </w:r>
      <w:r w:rsidR="00920695">
        <w:t xml:space="preserve">equirements </w:t>
      </w:r>
      <w:r w:rsidR="00236A55">
        <w:t>D</w:t>
      </w:r>
      <w:r w:rsidR="00920695">
        <w:t>ocument (TRD)</w:t>
      </w:r>
      <w:r w:rsidR="00236A55">
        <w:t xml:space="preserve"> </w:t>
      </w:r>
      <w:r w:rsidR="00920695">
        <w:t xml:space="preserve">and </w:t>
      </w:r>
      <w:r w:rsidR="00236A55">
        <w:t xml:space="preserve">report may be </w:t>
      </w:r>
      <w:r w:rsidR="00920695">
        <w:t xml:space="preserve">issued and then a contract </w:t>
      </w:r>
      <w:r w:rsidR="00236A55">
        <w:t>awarded in late summer 2020.  Thus,</w:t>
      </w:r>
      <w:r w:rsidR="00BB597B">
        <w:t xml:space="preserve"> there should be ample time and flexibility in the event </w:t>
      </w:r>
      <w:r w:rsidR="00420678">
        <w:t>the</w:t>
      </w:r>
      <w:r w:rsidR="00BB597B">
        <w:t xml:space="preserve"> contract award </w:t>
      </w:r>
      <w:r w:rsidR="00420678">
        <w:t xml:space="preserve">is </w:t>
      </w:r>
      <w:r w:rsidR="00BB597B">
        <w:t>delay</w:t>
      </w:r>
      <w:r w:rsidR="00420678">
        <w:t>ed</w:t>
      </w:r>
      <w:r w:rsidR="00BB597B">
        <w:t xml:space="preserve">. </w:t>
      </w:r>
      <w:r w:rsidR="00205D1A">
        <w:t>It is anticipated that the RND</w:t>
      </w:r>
      <w:r w:rsidR="002228A2">
        <w:t xml:space="preserve"> </w:t>
      </w:r>
      <w:r w:rsidR="0093494C">
        <w:t>creation</w:t>
      </w:r>
      <w:r w:rsidR="00205D1A">
        <w:t xml:space="preserve"> </w:t>
      </w:r>
      <w:r w:rsidR="00205D1A">
        <w:lastRenderedPageBreak/>
        <w:t xml:space="preserve">funds be collected in a single annual contribution factor.  However, if the funds to be collected </w:t>
      </w:r>
      <w:r w:rsidR="00AB2CF8">
        <w:t xml:space="preserve">result in </w:t>
      </w:r>
      <w:r w:rsidR="00DC650C">
        <w:t xml:space="preserve">twice the current year’s </w:t>
      </w:r>
      <w:r w:rsidR="00920695">
        <w:t xml:space="preserve">NANP Fund </w:t>
      </w:r>
      <w:r w:rsidR="00DC650C">
        <w:t>contribution factor,</w:t>
      </w:r>
      <w:r w:rsidR="00205D1A">
        <w:t xml:space="preserve"> a multiple year contribution factor</w:t>
      </w:r>
      <w:r w:rsidR="00CD383B">
        <w:t xml:space="preserve"> </w:t>
      </w:r>
      <w:r w:rsidR="00FA35DF">
        <w:t xml:space="preserve">or vendor self-funding </w:t>
      </w:r>
      <w:r w:rsidR="00CD383B">
        <w:t xml:space="preserve">should </w:t>
      </w:r>
      <w:r w:rsidR="00205D1A">
        <w:t>be considered</w:t>
      </w:r>
      <w:r w:rsidR="00DC650C">
        <w:t>.</w:t>
      </w:r>
      <w:r>
        <w:t xml:space="preserve"> </w:t>
      </w:r>
    </w:p>
    <w:p w:rsidR="001B68E3" w:rsidRDefault="00024A91">
      <w:r>
        <w:t xml:space="preserve">In addition </w:t>
      </w:r>
      <w:r w:rsidR="001933B3">
        <w:t>to identifying</w:t>
      </w:r>
      <w:r w:rsidR="00420678">
        <w:t xml:space="preserve"> the detail associated with the costs </w:t>
      </w:r>
      <w:r>
        <w:t xml:space="preserve">of administration of the current NANPA/PA systems, the costs </w:t>
      </w:r>
      <w:r w:rsidR="00420678">
        <w:t xml:space="preserve">of the combined NANPA/PA system development, </w:t>
      </w:r>
      <w:r w:rsidR="00920695">
        <w:t xml:space="preserve">and </w:t>
      </w:r>
      <w:r>
        <w:t xml:space="preserve">the costs of </w:t>
      </w:r>
      <w:r w:rsidR="00420678">
        <w:t xml:space="preserve">ongoing operation of the combined NANPA/PA system, </w:t>
      </w:r>
      <w:r>
        <w:t xml:space="preserve">the vendor shall identify </w:t>
      </w:r>
      <w:r w:rsidR="001933B3">
        <w:t xml:space="preserve">separately </w:t>
      </w:r>
      <w:r>
        <w:t xml:space="preserve">the costs for the </w:t>
      </w:r>
      <w:r w:rsidR="00420678">
        <w:t xml:space="preserve">development of the RND, and the ongoing </w:t>
      </w:r>
      <w:r>
        <w:t xml:space="preserve">administration </w:t>
      </w:r>
      <w:r w:rsidR="00420678">
        <w:t xml:space="preserve">costs of the RND. </w:t>
      </w:r>
      <w:r w:rsidR="009D42A3">
        <w:t xml:space="preserve"> </w:t>
      </w:r>
      <w:r w:rsidR="001933B3" w:rsidRPr="001933B3">
        <w:t>The vendor selected as the NANPA/PA and RND</w:t>
      </w:r>
      <w:r w:rsidR="00A7386B">
        <w:t xml:space="preserve"> Administrator (RND</w:t>
      </w:r>
      <w:r w:rsidR="001933B3" w:rsidRPr="001933B3">
        <w:t>A</w:t>
      </w:r>
      <w:r w:rsidR="00A7386B">
        <w:t>)</w:t>
      </w:r>
      <w:r w:rsidR="001933B3" w:rsidRPr="001933B3">
        <w:t xml:space="preserve"> will document how </w:t>
      </w:r>
      <w:r w:rsidR="00A7386B">
        <w:t>it</w:t>
      </w:r>
      <w:r w:rsidR="00A7386B" w:rsidRPr="001933B3">
        <w:t xml:space="preserve"> </w:t>
      </w:r>
      <w:r w:rsidR="001933B3" w:rsidRPr="001933B3">
        <w:t xml:space="preserve">will keep the administrative costs of the RNDA separate from the NANPA/PA as the revenue generated from </w:t>
      </w:r>
      <w:r w:rsidR="00A7386B">
        <w:t>U</w:t>
      </w:r>
      <w:r w:rsidR="001933B3" w:rsidRPr="001933B3">
        <w:t>sers/</w:t>
      </w:r>
      <w:r w:rsidR="00A7386B">
        <w:t>U</w:t>
      </w:r>
      <w:r w:rsidR="001933B3" w:rsidRPr="001933B3">
        <w:t xml:space="preserve">ser </w:t>
      </w:r>
      <w:r w:rsidR="00A7386B">
        <w:t>A</w:t>
      </w:r>
      <w:r w:rsidR="001933B3" w:rsidRPr="001933B3">
        <w:t>gents using the RND will be covering the administrative costs of the RNDA and RND.  The separation of the administrative costs between the NANPA/PA and RNDA will be subject to an annual audit.</w:t>
      </w:r>
      <w:r w:rsidR="001933B3">
        <w:t xml:space="preserve"> </w:t>
      </w:r>
      <w:r w:rsidR="00420678">
        <w:t xml:space="preserve">In addition, the </w:t>
      </w:r>
      <w:r w:rsidR="00F66930">
        <w:t>RNDA</w:t>
      </w:r>
      <w:r w:rsidR="00420678">
        <w:t xml:space="preserve"> </w:t>
      </w:r>
      <w:r w:rsidR="00F66930">
        <w:t>v</w:t>
      </w:r>
      <w:r w:rsidR="00420678">
        <w:t xml:space="preserve">endor </w:t>
      </w:r>
      <w:r w:rsidR="002228A2">
        <w:t>shall</w:t>
      </w:r>
      <w:r w:rsidR="00420678">
        <w:t xml:space="preserve"> provide </w:t>
      </w:r>
      <w:r w:rsidR="00635AF6">
        <w:t xml:space="preserve">a commitment and </w:t>
      </w:r>
      <w:r w:rsidR="00420678">
        <w:t xml:space="preserve">detail </w:t>
      </w:r>
      <w:r w:rsidR="00635AF6">
        <w:t>describing</w:t>
      </w:r>
      <w:r w:rsidR="00420678">
        <w:t xml:space="preserve"> how both the combination of the NANPA/PA system</w:t>
      </w:r>
      <w:r w:rsidR="00635AF6">
        <w:t>s</w:t>
      </w:r>
      <w:r w:rsidR="00420678">
        <w:t xml:space="preserve"> and the </w:t>
      </w:r>
      <w:r w:rsidR="00635AF6">
        <w:t>d</w:t>
      </w:r>
      <w:r w:rsidR="00420678">
        <w:t xml:space="preserve">evelopment of the RND will be completed in parallel and demonstrate how the two development efforts will not be delayed </w:t>
      </w:r>
      <w:r w:rsidR="00635AF6">
        <w:t>due to work effort conflict</w:t>
      </w:r>
      <w:r w:rsidR="00931883">
        <w:t xml:space="preserve"> between the two efforts</w:t>
      </w:r>
      <w:r w:rsidR="00635AF6">
        <w:t>.</w:t>
      </w:r>
      <w:r w:rsidR="00452F38">
        <w:t xml:space="preserve"> </w:t>
      </w:r>
    </w:p>
    <w:p w:rsidR="00A12DFB" w:rsidRDefault="009057D4">
      <w:r w:rsidRPr="00E36348">
        <w:t xml:space="preserve">If there is </w:t>
      </w:r>
      <w:r w:rsidR="009774D6">
        <w:t xml:space="preserve">a </w:t>
      </w:r>
      <w:r w:rsidR="00C44C06">
        <w:t>need</w:t>
      </w:r>
      <w:r w:rsidR="009774D6">
        <w:t xml:space="preserve"> </w:t>
      </w:r>
      <w:r w:rsidRPr="00E36348">
        <w:t>for</w:t>
      </w:r>
      <w:r w:rsidR="00C600C3" w:rsidRPr="00E36348">
        <w:t xml:space="preserve"> funding </w:t>
      </w:r>
      <w:r w:rsidR="009774D6">
        <w:t xml:space="preserve">some portion </w:t>
      </w:r>
      <w:r w:rsidR="00C600C3" w:rsidRPr="00E36348">
        <w:t xml:space="preserve">of the RND </w:t>
      </w:r>
      <w:r w:rsidR="009774D6">
        <w:t>creation costs</w:t>
      </w:r>
      <w:r w:rsidR="00C600C3" w:rsidRPr="00E36348">
        <w:t xml:space="preserve"> prior to </w:t>
      </w:r>
      <w:r w:rsidR="009774D6">
        <w:t xml:space="preserve">when a </w:t>
      </w:r>
      <w:r w:rsidR="00C44C06">
        <w:t xml:space="preserve">RND </w:t>
      </w:r>
      <w:r w:rsidR="009774D6">
        <w:t xml:space="preserve">contribution factor </w:t>
      </w:r>
      <w:r w:rsidR="00C44C06">
        <w:t>has been calculated,</w:t>
      </w:r>
      <w:r w:rsidR="009774D6">
        <w:t xml:space="preserve"> but after </w:t>
      </w:r>
      <w:r w:rsidR="00C44C06">
        <w:t>the</w:t>
      </w:r>
      <w:r w:rsidR="00C600C3" w:rsidRPr="00E36348">
        <w:t xml:space="preserve"> </w:t>
      </w:r>
      <w:r w:rsidR="00C44C06">
        <w:t xml:space="preserve">RND </w:t>
      </w:r>
      <w:r w:rsidR="00C600C3" w:rsidRPr="00E36348">
        <w:t>funding requirement</w:t>
      </w:r>
      <w:r w:rsidR="00C44C06">
        <w:t xml:space="preserve"> has been determined</w:t>
      </w:r>
      <w:r w:rsidR="002228A2" w:rsidRPr="00E36348">
        <w:t>,</w:t>
      </w:r>
      <w:r w:rsidR="00C600C3" w:rsidRPr="00E36348">
        <w:t xml:space="preserve"> </w:t>
      </w:r>
      <w:r w:rsidR="009774D6">
        <w:t xml:space="preserve">some portion of </w:t>
      </w:r>
      <w:r w:rsidR="00C600C3" w:rsidRPr="00E36348">
        <w:t xml:space="preserve">the current </w:t>
      </w:r>
      <w:r w:rsidR="00A7386B">
        <w:t xml:space="preserve">NANP Fund </w:t>
      </w:r>
      <w:r w:rsidR="00C600C3" w:rsidRPr="00E36348">
        <w:t xml:space="preserve">contingency fund </w:t>
      </w:r>
      <w:r w:rsidR="001933B3">
        <w:t xml:space="preserve">surplus </w:t>
      </w:r>
      <w:r w:rsidR="00C600C3" w:rsidRPr="00E36348">
        <w:t xml:space="preserve">may be </w:t>
      </w:r>
      <w:r w:rsidR="00E648CA" w:rsidRPr="00E36348">
        <w:t xml:space="preserve">used </w:t>
      </w:r>
      <w:r w:rsidR="002228A2" w:rsidRPr="00E36348">
        <w:t>for RND system development funding</w:t>
      </w:r>
      <w:r w:rsidR="00C600C3" w:rsidRPr="00E36348">
        <w:t>.</w:t>
      </w:r>
      <w:r w:rsidR="00C600C3">
        <w:t xml:space="preserve">  However, caution must be taken </w:t>
      </w:r>
      <w:r w:rsidR="008D405C">
        <w:t xml:space="preserve">to avoid </w:t>
      </w:r>
      <w:r w:rsidR="009774D6">
        <w:t xml:space="preserve">funding creation costs that </w:t>
      </w:r>
      <w:r w:rsidR="003A290B">
        <w:t xml:space="preserve">exceed </w:t>
      </w:r>
      <w:r w:rsidR="009774D6">
        <w:t xml:space="preserve">any expected surplus in </w:t>
      </w:r>
      <w:r w:rsidR="003A290B">
        <w:t xml:space="preserve">the contingency amount </w:t>
      </w:r>
      <w:r w:rsidR="009774D6">
        <w:t>as that could</w:t>
      </w:r>
      <w:r w:rsidR="003A290B">
        <w:t xml:space="preserve"> result in</w:t>
      </w:r>
      <w:r w:rsidR="00C600C3">
        <w:t xml:space="preserve"> insufficient</w:t>
      </w:r>
      <w:r w:rsidR="003A290B">
        <w:t xml:space="preserve"> funds</w:t>
      </w:r>
      <w:r w:rsidR="009774D6">
        <w:t xml:space="preserve"> to run the NANP</w:t>
      </w:r>
      <w:r w:rsidR="00A7386B">
        <w:t>A</w:t>
      </w:r>
      <w:r w:rsidR="009774D6">
        <w:t>/PA</w:t>
      </w:r>
      <w:r w:rsidR="00A7386B">
        <w:t xml:space="preserve"> function and/or the B&amp;C Agent function</w:t>
      </w:r>
      <w:r w:rsidR="003C20A8">
        <w:t>.</w:t>
      </w:r>
      <w:r w:rsidR="009774D6">
        <w:t xml:space="preserve"> </w:t>
      </w:r>
      <w:r w:rsidR="003C20A8">
        <w:t xml:space="preserve"> </w:t>
      </w:r>
      <w:r w:rsidR="00E81446">
        <w:t>Any contingency funds used for the RND</w:t>
      </w:r>
      <w:r w:rsidR="00D52B3D">
        <w:t xml:space="preserve"> </w:t>
      </w:r>
      <w:r w:rsidR="009774D6">
        <w:t>creation</w:t>
      </w:r>
      <w:r w:rsidR="00D52B3D">
        <w:t xml:space="preserve"> pursuant to the RND TRD</w:t>
      </w:r>
      <w:r w:rsidR="00E81446">
        <w:t xml:space="preserve"> shall not result in a funding deficit for the </w:t>
      </w:r>
      <w:r w:rsidR="008A56F7">
        <w:t xml:space="preserve">current </w:t>
      </w:r>
      <w:r w:rsidR="00E81446">
        <w:t>NANP</w:t>
      </w:r>
      <w:r w:rsidR="00A7386B">
        <w:t xml:space="preserve"> Fund </w:t>
      </w:r>
      <w:r w:rsidR="00E81446">
        <w:t>funding requirements</w:t>
      </w:r>
      <w:r w:rsidR="008A56F7">
        <w:t xml:space="preserve"> for </w:t>
      </w:r>
      <w:r w:rsidR="00A7386B">
        <w:t xml:space="preserve">the October </w:t>
      </w:r>
      <w:r w:rsidR="008A56F7">
        <w:t>2019-</w:t>
      </w:r>
      <w:r w:rsidR="00A7386B">
        <w:t xml:space="preserve">September </w:t>
      </w:r>
      <w:r w:rsidR="008A56F7">
        <w:t>2020</w:t>
      </w:r>
      <w:r w:rsidR="00A7386B">
        <w:t xml:space="preserve"> cycle</w:t>
      </w:r>
      <w:r w:rsidR="00E81446">
        <w:t>.</w:t>
      </w:r>
      <w:r w:rsidR="008A56F7">
        <w:t xml:space="preserve"> </w:t>
      </w:r>
    </w:p>
    <w:p w:rsidR="008D405C" w:rsidRDefault="009774D6">
      <w:r>
        <w:t xml:space="preserve">To the extent that the timing of the procurement effort related to the RND does not allow for the inclusion of RND creation costs in the </w:t>
      </w:r>
      <w:r w:rsidR="00A7386B">
        <w:t xml:space="preserve">October </w:t>
      </w:r>
      <w:r>
        <w:t>2020</w:t>
      </w:r>
      <w:r w:rsidR="00A7386B">
        <w:t xml:space="preserve">-September </w:t>
      </w:r>
      <w:r>
        <w:t>2021 NANP</w:t>
      </w:r>
      <w:r w:rsidR="00A7386B">
        <w:t xml:space="preserve"> Fund </w:t>
      </w:r>
      <w:r>
        <w:t>contribution</w:t>
      </w:r>
      <w:r w:rsidR="00A7386B">
        <w:t xml:space="preserve"> cycle</w:t>
      </w:r>
      <w:r>
        <w:t>, a</w:t>
      </w:r>
      <w:r w:rsidR="005A51AA">
        <w:t xml:space="preserve">s an alternative to the requirements of the FCC </w:t>
      </w:r>
      <w:r w:rsidR="00A7386B">
        <w:t>O</w:t>
      </w:r>
      <w:r w:rsidR="005A51AA">
        <w:t>rder 18-177, e</w:t>
      </w:r>
      <w:r w:rsidR="008D405C">
        <w:t xml:space="preserve">xpedited RND system development may be accomplished by avoiding the contribution </w:t>
      </w:r>
      <w:r w:rsidR="00CA1463">
        <w:t>factor calculation</w:t>
      </w:r>
      <w:r w:rsidR="002228A2">
        <w:t>,</w:t>
      </w:r>
      <w:r w:rsidR="008D405C">
        <w:t xml:space="preserve"> billing</w:t>
      </w:r>
      <w:r w:rsidR="002228A2">
        <w:t>,</w:t>
      </w:r>
      <w:r w:rsidR="008D405C">
        <w:t xml:space="preserve"> and collection process</w:t>
      </w:r>
      <w:r w:rsidR="00CA1463">
        <w:t xml:space="preserve">.  The </w:t>
      </w:r>
      <w:r w:rsidR="00F66930">
        <w:t>RNDA</w:t>
      </w:r>
      <w:r w:rsidR="00CA1463">
        <w:t xml:space="preserve"> vendor may determine that its </w:t>
      </w:r>
      <w:r w:rsidR="0093494C">
        <w:t xml:space="preserve">creation </w:t>
      </w:r>
      <w:r w:rsidR="00CA1463">
        <w:t xml:space="preserve">of the RND system may be accomplished prior to the completion of the contribution factor process and funding availability. The </w:t>
      </w:r>
      <w:r w:rsidR="00F66930">
        <w:t>RNDA</w:t>
      </w:r>
      <w:r w:rsidR="008D405C">
        <w:t xml:space="preserve"> vendor</w:t>
      </w:r>
      <w:r w:rsidR="00CA1463">
        <w:t xml:space="preserve"> may determine that </w:t>
      </w:r>
      <w:r w:rsidR="008D405C">
        <w:t xml:space="preserve">self-funding of the RND </w:t>
      </w:r>
      <w:r w:rsidR="0093494C">
        <w:t>creation</w:t>
      </w:r>
      <w:r w:rsidR="00CA1463">
        <w:t xml:space="preserve"> may be the most expeditious and economical way to accomplish the establishment of the RND.  This may also </w:t>
      </w:r>
      <w:r w:rsidR="002F4255">
        <w:t>expedite</w:t>
      </w:r>
      <w:r w:rsidR="00CA1463">
        <w:t xml:space="preserve"> the ability for the RNDA to realize profit by avoiding the requirement to </w:t>
      </w:r>
      <w:r w:rsidR="002228A2">
        <w:t>remit</w:t>
      </w:r>
      <w:r w:rsidR="00CA1463">
        <w:t xml:space="preserve"> funds for </w:t>
      </w:r>
      <w:r w:rsidR="00CD383B">
        <w:t>Service Provider</w:t>
      </w:r>
      <w:r w:rsidR="00CA1463">
        <w:t xml:space="preserve"> cost </w:t>
      </w:r>
      <w:r w:rsidR="002F4255">
        <w:t>recovery.  This also provides the incentive for the RNDA to develop the most economic RND in the least amount of time as the</w:t>
      </w:r>
      <w:r w:rsidR="00317EB0">
        <w:t xml:space="preserve"> </w:t>
      </w:r>
      <w:r w:rsidR="002228A2">
        <w:t>reduced time for</w:t>
      </w:r>
      <w:r w:rsidR="00317EB0">
        <w:t xml:space="preserve"> </w:t>
      </w:r>
      <w:r w:rsidR="002F4255">
        <w:t>recover</w:t>
      </w:r>
      <w:r w:rsidR="00317EB0">
        <w:t>y of</w:t>
      </w:r>
      <w:r w:rsidR="002F4255">
        <w:t xml:space="preserve"> </w:t>
      </w:r>
      <w:r w:rsidR="00A7386B">
        <w:t xml:space="preserve">its </w:t>
      </w:r>
      <w:r w:rsidR="002F4255">
        <w:t xml:space="preserve">costs and </w:t>
      </w:r>
      <w:r w:rsidR="002228A2">
        <w:t xml:space="preserve">quicker </w:t>
      </w:r>
      <w:r w:rsidR="002F4255">
        <w:t>recei</w:t>
      </w:r>
      <w:r w:rsidR="00931883">
        <w:t>pt of</w:t>
      </w:r>
      <w:r w:rsidR="002F4255">
        <w:t xml:space="preserve"> profits is directly related to the speed and economical deployment of the RND. </w:t>
      </w:r>
    </w:p>
    <w:p w:rsidR="008D4647" w:rsidRPr="009D55AB" w:rsidRDefault="007D6243" w:rsidP="009D55AB">
      <w:pPr>
        <w:pStyle w:val="Heading2"/>
      </w:pPr>
      <w:bookmarkStart w:id="11" w:name="_Toc29568358"/>
      <w:bookmarkStart w:id="12" w:name="_Toc29571003"/>
      <w:r w:rsidRPr="009D55AB">
        <w:t xml:space="preserve">Section 3.2: </w:t>
      </w:r>
      <w:r w:rsidR="008D4647">
        <w:t xml:space="preserve">B&amp;C Agent </w:t>
      </w:r>
      <w:r w:rsidR="008D4647" w:rsidRPr="00BA25C5">
        <w:t xml:space="preserve">RND </w:t>
      </w:r>
      <w:r w:rsidR="00C96EBB">
        <w:t>Creation</w:t>
      </w:r>
      <w:r w:rsidR="00C96EBB" w:rsidRPr="00BA25C5">
        <w:t xml:space="preserve"> </w:t>
      </w:r>
      <w:r w:rsidR="008D4647" w:rsidRPr="00BA25C5">
        <w:t>Funding</w:t>
      </w:r>
      <w:r w:rsidR="008D4647">
        <w:t xml:space="preserve"> Considerations</w:t>
      </w:r>
      <w:bookmarkEnd w:id="11"/>
      <w:bookmarkEnd w:id="12"/>
    </w:p>
    <w:p w:rsidR="008D4647" w:rsidRDefault="008D4647">
      <w:pPr>
        <w:rPr>
          <w:b/>
        </w:rPr>
      </w:pPr>
      <w:r>
        <w:t xml:space="preserve">The B&amp;C Agent will be required to establish the appropriate arrangements to </w:t>
      </w:r>
      <w:r w:rsidR="00E0222F">
        <w:t>account for each Service Provider contribution to</w:t>
      </w:r>
      <w:r>
        <w:t xml:space="preserve"> RND </w:t>
      </w:r>
      <w:r w:rsidR="0093494C">
        <w:t>creation costs</w:t>
      </w:r>
      <w:r w:rsidR="00A7386B">
        <w:t>,</w:t>
      </w:r>
      <w:r w:rsidR="00E0222F">
        <w:t xml:space="preserve"> and</w:t>
      </w:r>
      <w:r w:rsidR="00A7386B">
        <w:t xml:space="preserve"> to</w:t>
      </w:r>
      <w:r w:rsidR="00E0222F">
        <w:t xml:space="preserve"> remit funds to the RNDA for RND </w:t>
      </w:r>
      <w:r w:rsidR="0093494C">
        <w:t>creation</w:t>
      </w:r>
      <w:r w:rsidR="00E0222F">
        <w:t xml:space="preserve"> with the appropriate accounting</w:t>
      </w:r>
      <w:r>
        <w:t xml:space="preserve">. </w:t>
      </w:r>
      <w:r w:rsidR="00E0222F">
        <w:t xml:space="preserve">The B&amp;C </w:t>
      </w:r>
      <w:r w:rsidR="00A7386B">
        <w:t>A</w:t>
      </w:r>
      <w:r w:rsidR="00E0222F">
        <w:t xml:space="preserve">gent shall establish a $25 minimum contribution </w:t>
      </w:r>
      <w:r w:rsidR="00FB0CCC">
        <w:t>to</w:t>
      </w:r>
      <w:r w:rsidR="00E0222F">
        <w:t xml:space="preserve"> </w:t>
      </w:r>
      <w:r w:rsidR="00835A15">
        <w:t xml:space="preserve">RND development </w:t>
      </w:r>
      <w:r w:rsidR="00FB0CCC">
        <w:t xml:space="preserve">costs consistent with the methodology used to set the NANP </w:t>
      </w:r>
      <w:r w:rsidR="00A7386B">
        <w:t xml:space="preserve">Fund </w:t>
      </w:r>
      <w:r w:rsidR="00FB0CCC">
        <w:t>minimum contribution.</w:t>
      </w:r>
      <w:r w:rsidR="00A7386B">
        <w:rPr>
          <w:rStyle w:val="FootnoteReference"/>
        </w:rPr>
        <w:footnoteReference w:id="11"/>
      </w:r>
      <w:r w:rsidR="00FB0CCC">
        <w:t xml:space="preserve"> </w:t>
      </w:r>
      <w:r w:rsidR="00A7386B">
        <w:t xml:space="preserve"> </w:t>
      </w:r>
      <w:r w:rsidR="00FB0CCC">
        <w:t>The RND creation contribution factor sh</w:t>
      </w:r>
      <w:r w:rsidR="00A7386B">
        <w:t>all</w:t>
      </w:r>
      <w:r w:rsidR="00FB0CCC">
        <w:t xml:space="preserve"> be </w:t>
      </w:r>
      <w:r w:rsidR="00E0222F">
        <w:t>applied separate from the calculation for funding of the NAN</w:t>
      </w:r>
      <w:r w:rsidR="00A7386B">
        <w:t>P Fund contribution factor</w:t>
      </w:r>
      <w:r w:rsidR="00E0222F">
        <w:t xml:space="preserve">.    </w:t>
      </w:r>
    </w:p>
    <w:p w:rsidR="00A12DFB" w:rsidRPr="009D55AB" w:rsidRDefault="007D6243" w:rsidP="009D55AB">
      <w:pPr>
        <w:pStyle w:val="Heading2"/>
      </w:pPr>
      <w:bookmarkStart w:id="13" w:name="_Toc29568359"/>
      <w:bookmarkStart w:id="14" w:name="_Toc29571004"/>
      <w:r w:rsidRPr="009D55AB">
        <w:t xml:space="preserve">Section 3.3: </w:t>
      </w:r>
      <w:r w:rsidR="00AF0553" w:rsidRPr="00A12DFB">
        <w:t>Re</w:t>
      </w:r>
      <w:r w:rsidR="00AF0553">
        <w:t>payment o</w:t>
      </w:r>
      <w:r w:rsidR="00A12DFB" w:rsidRPr="00A12DFB">
        <w:t xml:space="preserve">f </w:t>
      </w:r>
      <w:r w:rsidR="00C96EBB">
        <w:t xml:space="preserve">RND Creation </w:t>
      </w:r>
      <w:r w:rsidR="00A12DFB" w:rsidRPr="00A12DFB">
        <w:t>Costs</w:t>
      </w:r>
      <w:bookmarkEnd w:id="13"/>
      <w:bookmarkEnd w:id="14"/>
    </w:p>
    <w:p w:rsidR="00541F92" w:rsidRDefault="00E36348">
      <w:r>
        <w:lastRenderedPageBreak/>
        <w:t xml:space="preserve">Repayment </w:t>
      </w:r>
      <w:r w:rsidR="00F66930">
        <w:t xml:space="preserve">of the RND </w:t>
      </w:r>
      <w:r w:rsidR="008479FB">
        <w:t xml:space="preserve">creation </w:t>
      </w:r>
      <w:r w:rsidR="00F66930">
        <w:t xml:space="preserve">costs </w:t>
      </w:r>
      <w:r w:rsidR="00C179AE">
        <w:t xml:space="preserve">to </w:t>
      </w:r>
      <w:r w:rsidR="00F66930">
        <w:t xml:space="preserve">the </w:t>
      </w:r>
      <w:r w:rsidR="00CD383B">
        <w:t>Service Provider</w:t>
      </w:r>
      <w:r w:rsidR="00F66930">
        <w:t xml:space="preserve">s will ultimately be provided by the </w:t>
      </w:r>
      <w:r w:rsidR="00C96EBB">
        <w:t>U</w:t>
      </w:r>
      <w:r w:rsidR="00F66930">
        <w:t>sers</w:t>
      </w:r>
      <w:r w:rsidR="00C96EBB">
        <w:t>/User Agents</w:t>
      </w:r>
      <w:r w:rsidR="00F66930">
        <w:t xml:space="preserve"> of the database</w:t>
      </w:r>
      <w:r w:rsidR="009A5963">
        <w:t>.</w:t>
      </w:r>
      <w:r w:rsidR="00317EB0">
        <w:rPr>
          <w:rStyle w:val="FootnoteReference"/>
        </w:rPr>
        <w:footnoteReference w:id="12"/>
      </w:r>
      <w:r w:rsidR="009A5963">
        <w:t xml:space="preserve">  </w:t>
      </w:r>
      <w:r w:rsidR="00317EB0">
        <w:t xml:space="preserve">These funds will be sourced from the usage rates that the </w:t>
      </w:r>
      <w:r w:rsidR="00C96EBB">
        <w:t>U</w:t>
      </w:r>
      <w:r w:rsidR="00317EB0">
        <w:t>sers</w:t>
      </w:r>
      <w:r w:rsidR="00C96EBB">
        <w:t>/User Agents</w:t>
      </w:r>
      <w:r w:rsidR="00317EB0">
        <w:t xml:space="preserve"> will pay the RNDA for query access to the RND. </w:t>
      </w:r>
      <w:r w:rsidR="0005259F">
        <w:t xml:space="preserve"> </w:t>
      </w:r>
      <w:r w:rsidR="00317EB0">
        <w:t xml:space="preserve">The RNDA </w:t>
      </w:r>
      <w:r w:rsidR="00931883">
        <w:t>shall</w:t>
      </w:r>
      <w:r w:rsidR="00317EB0">
        <w:t xml:space="preserve"> remit funds to the B&amp;C Agent where the B&amp;C </w:t>
      </w:r>
      <w:r w:rsidR="00C96EBB">
        <w:t>A</w:t>
      </w:r>
      <w:r w:rsidR="00317EB0">
        <w:t xml:space="preserve">gent will </w:t>
      </w:r>
      <w:r w:rsidR="00C96EBB">
        <w:t>repay</w:t>
      </w:r>
      <w:r w:rsidR="00317EB0">
        <w:t xml:space="preserve"> </w:t>
      </w:r>
      <w:r w:rsidR="00CD383B">
        <w:t>Service Provider</w:t>
      </w:r>
      <w:r w:rsidR="00317EB0">
        <w:t xml:space="preserve">s such that the </w:t>
      </w:r>
      <w:r w:rsidR="00CD383B">
        <w:t>Service Provider</w:t>
      </w:r>
      <w:r w:rsidR="00317EB0">
        <w:t>s only recover those funds that were collected in the funding process described above.</w:t>
      </w:r>
      <w:r w:rsidR="00317EB0">
        <w:rPr>
          <w:rStyle w:val="FootnoteReference"/>
        </w:rPr>
        <w:footnoteReference w:id="13"/>
      </w:r>
      <w:r w:rsidR="00317EB0">
        <w:t xml:space="preserve"> </w:t>
      </w:r>
      <w:r w:rsidR="002F4255">
        <w:t xml:space="preserve"> </w:t>
      </w:r>
      <w:r w:rsidR="00C96EBB" w:rsidRPr="00976202">
        <w:t>The RNDA shall remit no less than quarterly payments to the B&amp;C Agent</w:t>
      </w:r>
      <w:r w:rsidR="00C96EBB">
        <w:t>,</w:t>
      </w:r>
      <w:r w:rsidR="00C96EBB" w:rsidRPr="00976202">
        <w:t xml:space="preserve"> </w:t>
      </w:r>
      <w:r w:rsidR="00C96EBB">
        <w:t xml:space="preserve">for Service Provider repayment, </w:t>
      </w:r>
      <w:r w:rsidR="00C96EBB" w:rsidRPr="00976202">
        <w:t xml:space="preserve">based upon at a minimum, the forecasted average revenue per query calculated for the term of its contract.  </w:t>
      </w:r>
      <w:r w:rsidR="00C96EBB">
        <w:t xml:space="preserve">The B&amp;C agent shall reconcile repayments with Service Providers annually. </w:t>
      </w:r>
      <w:r w:rsidR="0005259F">
        <w:t xml:space="preserve">If the RND </w:t>
      </w:r>
      <w:r w:rsidR="008A12FC">
        <w:t xml:space="preserve">creation costs </w:t>
      </w:r>
      <w:r w:rsidR="0005259F">
        <w:t>rel</w:t>
      </w:r>
      <w:r w:rsidR="008A12FC">
        <w:t>y</w:t>
      </w:r>
      <w:r w:rsidR="0005259F">
        <w:t xml:space="preserve"> upon the funding of the </w:t>
      </w:r>
      <w:r w:rsidR="00CD383B">
        <w:t>Service Provider</w:t>
      </w:r>
      <w:r w:rsidR="0005259F">
        <w:t>s, t</w:t>
      </w:r>
      <w:r w:rsidR="00931883">
        <w:t xml:space="preserve">he </w:t>
      </w:r>
      <w:r w:rsidR="00CD383B">
        <w:t>Service Provider</w:t>
      </w:r>
      <w:r w:rsidR="0005259F">
        <w:t>s</w:t>
      </w:r>
      <w:r w:rsidR="00931883">
        <w:t xml:space="preserve"> shall obtain complete </w:t>
      </w:r>
      <w:r w:rsidR="00182832">
        <w:t>repayment of costs</w:t>
      </w:r>
      <w:r w:rsidR="00931883">
        <w:t xml:space="preserve"> prior to the RNDA experiencing any profits from the development </w:t>
      </w:r>
      <w:r w:rsidR="0005259F">
        <w:t>or</w:t>
      </w:r>
      <w:r w:rsidR="00931883">
        <w:t xml:space="preserve"> operation of the RND.  This cost recovery structure has the benefit of further incentivizing the RNDA to develop the RND system as quickly and economically possible</w:t>
      </w:r>
      <w:r w:rsidR="00C96EBB">
        <w:t>,</w:t>
      </w:r>
      <w:r w:rsidR="00DC650C">
        <w:t xml:space="preserve"> and</w:t>
      </w:r>
      <w:r w:rsidR="00C96EBB">
        <w:t xml:space="preserve"> to</w:t>
      </w:r>
      <w:r w:rsidR="00DC650C">
        <w:t xml:space="preserve"> engage in marketing to incent use of the RND</w:t>
      </w:r>
      <w:r w:rsidR="00931883">
        <w:t>.</w:t>
      </w:r>
      <w:r w:rsidR="00CF7732">
        <w:t xml:space="preserve">  This methodology will also provide bidding vendors with the ability to </w:t>
      </w:r>
      <w:r w:rsidR="00205D1A">
        <w:t xml:space="preserve">anticipate and </w:t>
      </w:r>
      <w:r w:rsidR="00CF7732">
        <w:t xml:space="preserve">normalize the </w:t>
      </w:r>
      <w:r w:rsidR="00C96EBB">
        <w:t>U</w:t>
      </w:r>
      <w:r w:rsidR="00205D1A">
        <w:t>ser</w:t>
      </w:r>
      <w:r w:rsidR="00C96EBB">
        <w:t>/User Agent</w:t>
      </w:r>
      <w:r w:rsidR="00205D1A">
        <w:t xml:space="preserve"> </w:t>
      </w:r>
      <w:r w:rsidR="00CF7732">
        <w:t>rates over the term of the contract and provide this detail in their proposals.</w:t>
      </w:r>
      <w:r w:rsidR="00D82A4B" w:rsidRPr="00D82A4B">
        <w:t xml:space="preserve"> </w:t>
      </w:r>
      <w:r w:rsidR="00D82A4B">
        <w:t xml:space="preserve">The repayment shall be made over no longer than the term of the initial administrator’s contract. </w:t>
      </w:r>
    </w:p>
    <w:p w:rsidR="008D4647" w:rsidRDefault="007D6243" w:rsidP="009D55AB">
      <w:pPr>
        <w:pStyle w:val="Heading2"/>
      </w:pPr>
      <w:bookmarkStart w:id="15" w:name="_Hlk29275016"/>
      <w:bookmarkStart w:id="16" w:name="_Toc29568360"/>
      <w:bookmarkStart w:id="17" w:name="_Toc29571005"/>
      <w:r w:rsidRPr="009D55AB">
        <w:t xml:space="preserve">Section 3.4: </w:t>
      </w:r>
      <w:r w:rsidR="005215FA">
        <w:t>B&amp;C Agent Considerations</w:t>
      </w:r>
      <w:bookmarkEnd w:id="15"/>
      <w:r w:rsidR="00683CF1" w:rsidRPr="00683CF1">
        <w:t xml:space="preserve"> </w:t>
      </w:r>
      <w:r w:rsidR="00950BAF" w:rsidRPr="009D55AB">
        <w:t xml:space="preserve">for </w:t>
      </w:r>
      <w:r w:rsidR="00683CF1">
        <w:t>Service Provider Repayment</w:t>
      </w:r>
      <w:bookmarkStart w:id="18" w:name="_Hlk29276433"/>
      <w:bookmarkEnd w:id="16"/>
      <w:bookmarkEnd w:id="17"/>
    </w:p>
    <w:p w:rsidR="00E63490" w:rsidRDefault="00C249FA" w:rsidP="00E63490">
      <w:bookmarkStart w:id="19" w:name="_Hlk29280417"/>
      <w:r>
        <w:t xml:space="preserve">The B&amp;C Agent will be required to establish the appropriate arrangements to collect repayment funds from the RNDA.  </w:t>
      </w:r>
      <w:r w:rsidR="00E63490">
        <w:t xml:space="preserve">Service Providers that have made contributions through the B&amp;C agent to the RNDA for the creation of the RND shall be </w:t>
      </w:r>
      <w:r w:rsidR="005215FA">
        <w:t>credited for</w:t>
      </w:r>
      <w:r w:rsidR="00E63490">
        <w:t xml:space="preserve"> those contributions, and no more</w:t>
      </w:r>
      <w:r w:rsidR="00683CF1">
        <w:t>.</w:t>
      </w:r>
      <w:r w:rsidR="00E63490">
        <w:t xml:space="preserve"> </w:t>
      </w:r>
      <w:r w:rsidR="00683CF1">
        <w:t>T</w:t>
      </w:r>
      <w:r w:rsidR="005215FA">
        <w:t>his may be accomplished through a direct repayment using the</w:t>
      </w:r>
      <w:r w:rsidR="00D82A4B">
        <w:t xml:space="preserve"> B&amp;C Agent’s</w:t>
      </w:r>
      <w:r w:rsidR="005215FA">
        <w:t xml:space="preserve"> existing refund process</w:t>
      </w:r>
      <w:r w:rsidR="00C96EBB">
        <w:t>,</w:t>
      </w:r>
      <w:r w:rsidR="005215FA">
        <w:t xml:space="preserve"> or a credit </w:t>
      </w:r>
      <w:r w:rsidR="00E63490">
        <w:t>provided against future NANP</w:t>
      </w:r>
      <w:r w:rsidR="00C96EBB">
        <w:t xml:space="preserve"> Fund </w:t>
      </w:r>
      <w:r w:rsidR="00E63490">
        <w:t xml:space="preserve">contribution amounts assessed to those Service Providers by the B&amp;C </w:t>
      </w:r>
      <w:r w:rsidR="00C96EBB">
        <w:t>A</w:t>
      </w:r>
      <w:r w:rsidR="00E63490">
        <w:t xml:space="preserve">gent. </w:t>
      </w:r>
      <w:r w:rsidR="00D82A4B">
        <w:t>To the extent that total funds collected from Service Providers to fund the chosen RND creation costs exceed those costs, that excess portion of the funds collected from the Service Providers is to be refunded, under the credit methodology, on a pro-rata basis as a credit against the payments due from those same Service Providers in the very next annual NANP</w:t>
      </w:r>
      <w:r w:rsidR="00C96EBB">
        <w:t xml:space="preserve"> Fund</w:t>
      </w:r>
      <w:r w:rsidR="00D82A4B">
        <w:t xml:space="preserve"> billing cycle.</w:t>
      </w:r>
    </w:p>
    <w:bookmarkEnd w:id="18"/>
    <w:bookmarkEnd w:id="19"/>
    <w:p w:rsidR="00E63490" w:rsidRDefault="000A1216" w:rsidP="00E63490">
      <w:r>
        <w:t xml:space="preserve">The B&amp;C Agent </w:t>
      </w:r>
      <w:r w:rsidR="00341FBE">
        <w:t xml:space="preserve">also </w:t>
      </w:r>
      <w:r>
        <w:t xml:space="preserve">shall establish </w:t>
      </w:r>
      <w:r w:rsidR="00C96EBB">
        <w:t xml:space="preserve">a </w:t>
      </w:r>
      <w:r w:rsidR="00E63490">
        <w:t>repayment mechanism to repay Service Providers in the event that a Service Provider’s service offerings change (or it goes out of business, etc.) such that it is no long</w:t>
      </w:r>
      <w:r w:rsidR="00115CFE">
        <w:t>er</w:t>
      </w:r>
      <w:r w:rsidR="00E63490">
        <w:t xml:space="preserve"> being assessed in the NANP</w:t>
      </w:r>
      <w:r w:rsidR="00341FBE">
        <w:t xml:space="preserve"> Fund </w:t>
      </w:r>
      <w:r w:rsidR="00E63490">
        <w:t xml:space="preserve">annual billing cycles in which </w:t>
      </w:r>
      <w:r>
        <w:t>it</w:t>
      </w:r>
      <w:r w:rsidR="00E63490">
        <w:t xml:space="preserve"> would otherwise be </w:t>
      </w:r>
      <w:r>
        <w:t>credited</w:t>
      </w:r>
      <w:r w:rsidR="00E63490">
        <w:t>.</w:t>
      </w:r>
      <w:r>
        <w:t xml:space="preserve"> Any </w:t>
      </w:r>
      <w:r w:rsidR="00341FBE">
        <w:t xml:space="preserve">repayment </w:t>
      </w:r>
      <w:r>
        <w:t xml:space="preserve">amounts that </w:t>
      </w:r>
      <w:r w:rsidR="00D31A6A">
        <w:t xml:space="preserve">the B&amp;C Agent </w:t>
      </w:r>
      <w:r w:rsidR="00341FBE">
        <w:t xml:space="preserve">is </w:t>
      </w:r>
      <w:r w:rsidR="00D31A6A">
        <w:t xml:space="preserve">unable to return </w:t>
      </w:r>
      <w:r w:rsidR="00E0222F">
        <w:t xml:space="preserve">or credit </w:t>
      </w:r>
      <w:r w:rsidR="00D31A6A">
        <w:t xml:space="preserve">to the appropriate </w:t>
      </w:r>
      <w:r w:rsidR="00341FBE">
        <w:t>S</w:t>
      </w:r>
      <w:r w:rsidR="00D31A6A">
        <w:t xml:space="preserve">ervice </w:t>
      </w:r>
      <w:r w:rsidR="00341FBE">
        <w:t>P</w:t>
      </w:r>
      <w:r w:rsidR="00D31A6A">
        <w:t>rovider shall be applied to the costs of the NANP</w:t>
      </w:r>
      <w:r w:rsidR="00341FBE">
        <w:t xml:space="preserve"> Fund </w:t>
      </w:r>
      <w:r w:rsidR="00D31A6A">
        <w:t>balance.</w:t>
      </w:r>
      <w:r>
        <w:t xml:space="preserve"> </w:t>
      </w:r>
    </w:p>
    <w:p w:rsidR="008D4647" w:rsidRDefault="00E63490" w:rsidP="00E63490">
      <w:r>
        <w:t>The</w:t>
      </w:r>
      <w:r w:rsidR="00D31A6A">
        <w:t xml:space="preserve"> B&amp;C Agent shall not impute</w:t>
      </w:r>
      <w:r>
        <w:t xml:space="preserve"> interest expense </w:t>
      </w:r>
      <w:r w:rsidR="000860C0">
        <w:t>on behalf</w:t>
      </w:r>
      <w:r>
        <w:t xml:space="preserve"> Service Providers during the time their </w:t>
      </w:r>
      <w:r w:rsidR="00341FBE">
        <w:t xml:space="preserve">contributed </w:t>
      </w:r>
      <w:r>
        <w:t>funds are being used by the RNDA</w:t>
      </w:r>
      <w:r w:rsidR="00FD18DA">
        <w:t>. T</w:t>
      </w:r>
      <w:r>
        <w:t xml:space="preserve">his </w:t>
      </w:r>
      <w:r w:rsidR="00D82A4B">
        <w:t xml:space="preserve">further </w:t>
      </w:r>
      <w:r>
        <w:t xml:space="preserve">necessitates a short repayment period.  </w:t>
      </w:r>
      <w:r w:rsidR="008D4647" w:rsidRPr="008D4647">
        <w:t xml:space="preserve"> </w:t>
      </w:r>
    </w:p>
    <w:p w:rsidR="000A1216" w:rsidRPr="009D55AB" w:rsidRDefault="007D6243" w:rsidP="009D55AB">
      <w:pPr>
        <w:pStyle w:val="Heading1"/>
      </w:pPr>
      <w:bookmarkStart w:id="20" w:name="_Toc29568361"/>
      <w:bookmarkStart w:id="21" w:name="_Toc29571006"/>
      <w:r w:rsidRPr="009D55AB">
        <w:t xml:space="preserve">Section 4: </w:t>
      </w:r>
      <w:r w:rsidR="00950BAF" w:rsidRPr="009D55AB">
        <w:t xml:space="preserve">Initial </w:t>
      </w:r>
      <w:r w:rsidR="000A1216" w:rsidRPr="0093574D">
        <w:t>Pricing Structure</w:t>
      </w:r>
      <w:r w:rsidR="00950BAF" w:rsidRPr="009D55AB">
        <w:t xml:space="preserve"> and Pricing Levels</w:t>
      </w:r>
      <w:bookmarkEnd w:id="20"/>
      <w:bookmarkEnd w:id="21"/>
    </w:p>
    <w:p w:rsidR="00950BAF" w:rsidRDefault="00541F92" w:rsidP="00950BAF">
      <w:bookmarkStart w:id="22" w:name="_Hlk29322168"/>
      <w:r>
        <w:t xml:space="preserve">In this section, the NANC provides recommendations for the initial pricing structure and pricing levels that could be applicable to use for the RND. </w:t>
      </w:r>
      <w:r w:rsidR="00950BAF">
        <w:t xml:space="preserve">Reaching consensus on any of the issues related to pricing for use of the RND was seriously hampered both by:  </w:t>
      </w:r>
    </w:p>
    <w:p w:rsidR="00950BAF" w:rsidRDefault="00950BAF" w:rsidP="00950BAF">
      <w:pPr>
        <w:pStyle w:val="ListParagraph"/>
        <w:numPr>
          <w:ilvl w:val="0"/>
          <w:numId w:val="3"/>
        </w:numPr>
      </w:pPr>
      <w:r>
        <w:t>a lack of data on the costs that may be incurred to create and operate that database and any realistic expectation of either the number of Users</w:t>
      </w:r>
      <w:r w:rsidR="00547B2E">
        <w:t>/User Agents</w:t>
      </w:r>
      <w:r>
        <w:t xml:space="preserve"> or volume of queries of the system</w:t>
      </w:r>
    </w:p>
    <w:p w:rsidR="008D405C" w:rsidRDefault="00950BAF" w:rsidP="00950BAF">
      <w:pPr>
        <w:pStyle w:val="ListParagraph"/>
        <w:numPr>
          <w:ilvl w:val="0"/>
          <w:numId w:val="3"/>
        </w:numPr>
      </w:pPr>
      <w:r>
        <w:lastRenderedPageBreak/>
        <w:t>understanding that, in light of a), above, price levels cannot be credibly determined.</w:t>
      </w:r>
      <w:bookmarkEnd w:id="22"/>
      <w:r>
        <w:t xml:space="preserve">  Details on those concerns are found in </w:t>
      </w:r>
      <w:r w:rsidR="00CB7E43">
        <w:t>S</w:t>
      </w:r>
      <w:r>
        <w:t xml:space="preserve">ection </w:t>
      </w:r>
      <w:r w:rsidR="00CB7E43">
        <w:t>4.1</w:t>
      </w:r>
      <w:r>
        <w:t xml:space="preserve"> below.  The recommendations that </w:t>
      </w:r>
      <w:r w:rsidR="00CB7E43">
        <w:t xml:space="preserve">the NANC has </w:t>
      </w:r>
      <w:r>
        <w:t xml:space="preserve">been able to make are found </w:t>
      </w:r>
      <w:r w:rsidR="00CB7E43">
        <w:t>S</w:t>
      </w:r>
      <w:r>
        <w:t xml:space="preserve">ection </w:t>
      </w:r>
      <w:r w:rsidR="00CB7E43">
        <w:t xml:space="preserve">4.2 below. </w:t>
      </w:r>
    </w:p>
    <w:p w:rsidR="00950BAF" w:rsidRDefault="00950BAF" w:rsidP="00950BAF">
      <w:r>
        <w:t>The following guidelines were used in developing the recommendations that follow:</w:t>
      </w:r>
    </w:p>
    <w:p w:rsidR="007D6243" w:rsidRDefault="00950BAF" w:rsidP="00950BAF">
      <w:pPr>
        <w:pStyle w:val="ListParagraph"/>
        <w:numPr>
          <w:ilvl w:val="0"/>
          <w:numId w:val="5"/>
        </w:numPr>
      </w:pPr>
      <w:r>
        <w:t xml:space="preserve">“Users” as used in this document refers </w:t>
      </w:r>
      <w:r w:rsidR="007D6243">
        <w:rPr>
          <w:color w:val="000000"/>
        </w:rPr>
        <w:t>to any person</w:t>
      </w:r>
      <w:r w:rsidR="004D7CAC">
        <w:rPr>
          <w:color w:val="000000"/>
        </w:rPr>
        <w:t>, entity or agent thereof</w:t>
      </w:r>
      <w:r w:rsidR="007D6243">
        <w:rPr>
          <w:color w:val="000000"/>
        </w:rPr>
        <w:t xml:space="preserve"> that queries the RND to determine</w:t>
      </w:r>
      <w:r w:rsidR="00F15E73">
        <w:rPr>
          <w:color w:val="000000"/>
        </w:rPr>
        <w:t>, for the purpose of making lawful calls or sending lawful texts,</w:t>
      </w:r>
      <w:r w:rsidR="00F15E73" w:rsidRPr="00F15E73">
        <w:rPr>
          <w:rStyle w:val="FootnoteReference"/>
          <w:color w:val="000000"/>
        </w:rPr>
        <w:t xml:space="preserve"> </w:t>
      </w:r>
      <w:r w:rsidR="00F15E73">
        <w:rPr>
          <w:rStyle w:val="FootnoteReference"/>
          <w:color w:val="000000"/>
        </w:rPr>
        <w:footnoteReference w:id="14"/>
      </w:r>
      <w:r w:rsidR="00F15E73">
        <w:t xml:space="preserve"> </w:t>
      </w:r>
      <w:r w:rsidR="00F15E73">
        <w:rPr>
          <w:color w:val="000000"/>
        </w:rPr>
        <w:t>whether</w:t>
      </w:r>
      <w:r w:rsidR="007D6243">
        <w:rPr>
          <w:color w:val="000000"/>
        </w:rPr>
        <w:t xml:space="preserve"> a telephone number has the potential to have been reassigned</w:t>
      </w:r>
      <w:r w:rsidR="00F15E73">
        <w:rPr>
          <w:color w:val="000000"/>
        </w:rPr>
        <w:t>.</w:t>
      </w:r>
      <w:r w:rsidR="007D6243">
        <w:t xml:space="preserve"> </w:t>
      </w:r>
    </w:p>
    <w:p w:rsidR="00950BAF" w:rsidRDefault="00950BAF" w:rsidP="00950BAF">
      <w:pPr>
        <w:pStyle w:val="ListParagraph"/>
        <w:numPr>
          <w:ilvl w:val="0"/>
          <w:numId w:val="5"/>
        </w:numPr>
      </w:pPr>
      <w:r>
        <w:t>Lack of known cost and demand data, and other relevant information, impacts price points within the recommendations, and results in the need for illustrative pricing structures.</w:t>
      </w:r>
    </w:p>
    <w:p w:rsidR="00950BAF" w:rsidRDefault="00950BAF" w:rsidP="00950BAF">
      <w:pPr>
        <w:pStyle w:val="ListParagraph"/>
        <w:numPr>
          <w:ilvl w:val="0"/>
          <w:numId w:val="5"/>
        </w:numPr>
      </w:pPr>
      <w:r>
        <w:t>A “Queries-per-year” metric was determined to be an appropriate basis from which other pricing options may be developed in order to ensure full cost recovery within the presumed initial 5-year RNDA contract period (Other pricing options may be offered by the RNDA and include, for example, monthly-per-query levels and/or flat-rate plans)</w:t>
      </w:r>
      <w:r w:rsidR="00BD336F">
        <w:t>.</w:t>
      </w:r>
    </w:p>
    <w:p w:rsidR="00950BAF" w:rsidRDefault="00950BAF" w:rsidP="00950BAF">
      <w:pPr>
        <w:pStyle w:val="ListParagraph"/>
        <w:numPr>
          <w:ilvl w:val="0"/>
          <w:numId w:val="5"/>
        </w:numPr>
      </w:pPr>
      <w:r>
        <w:t xml:space="preserve">The pricing structure and price levels should stimulate a level of User-rates and query demand sufficient to ensure full recovery of all costs plus full reimbursement to Service Providers within the presumed initial 5-year RNDA contract period. </w:t>
      </w:r>
    </w:p>
    <w:p w:rsidR="00950BAF" w:rsidRDefault="00950BAF" w:rsidP="00950BAF">
      <w:pPr>
        <w:rPr>
          <w:i/>
          <w:iCs/>
        </w:rPr>
      </w:pPr>
      <w:r>
        <w:t>Due primarily to recovery and reimbursement concerns, no consensus was reached on whether an initial short-term waiver of charges to stimulate demand would be warranted.</w:t>
      </w:r>
    </w:p>
    <w:p w:rsidR="00950BAF" w:rsidRPr="009D55AB" w:rsidRDefault="007D6243" w:rsidP="009D55AB">
      <w:pPr>
        <w:pStyle w:val="Heading2"/>
      </w:pPr>
      <w:bookmarkStart w:id="23" w:name="_Toc29568362"/>
      <w:bookmarkStart w:id="24" w:name="_Toc29571007"/>
      <w:r w:rsidRPr="009D55AB">
        <w:t>Section 4.1</w:t>
      </w:r>
      <w:r w:rsidR="009D55AB" w:rsidRPr="009D55AB">
        <w:t>:</w:t>
      </w:r>
      <w:r w:rsidRPr="009D55AB">
        <w:t xml:space="preserve"> </w:t>
      </w:r>
      <w:r w:rsidR="00950BAF" w:rsidRPr="009D55AB">
        <w:t>Process Concerns</w:t>
      </w:r>
      <w:bookmarkEnd w:id="23"/>
      <w:bookmarkEnd w:id="24"/>
    </w:p>
    <w:p w:rsidR="00950BAF" w:rsidRDefault="00950BAF" w:rsidP="00950BAF">
      <w:pPr>
        <w:rPr>
          <w:rFonts w:cstheme="minorHAnsi"/>
          <w:color w:val="0F243E" w:themeColor="text2" w:themeShade="80"/>
        </w:rPr>
      </w:pPr>
      <w:r>
        <w:rPr>
          <w:rFonts w:cstheme="minorHAnsi"/>
          <w:color w:val="0F243E" w:themeColor="text2" w:themeShade="80"/>
        </w:rPr>
        <w:t>As noted above, due to the lack of basis for determining the costs of the RND creation, no dollar amount could be recommended for Service Providers to “fund” prior to contract award.  Further, costs associated with ongoing maintenance and administration of a heretofore non-existent RND are  unknown, and such costs cannot be credibly estimated without details surrounding the specific investment, system, and operational characteristics that could be determined by individual bidders.  Fundamental differences exist between the existing Federal Do-Not-Call Registry and the proposed RND, creating an incongruence for the purposes of estimating comparable RND unit costs and rates, and no publicly-available DNC Registry cost information could be obtained prior to the deadline</w:t>
      </w:r>
      <w:r w:rsidR="00CB7E43">
        <w:rPr>
          <w:rFonts w:cstheme="minorHAnsi"/>
          <w:color w:val="0F243E" w:themeColor="text2" w:themeShade="80"/>
        </w:rPr>
        <w:t xml:space="preserve"> to provide this report</w:t>
      </w:r>
      <w:r>
        <w:rPr>
          <w:rFonts w:cstheme="minorHAnsi"/>
          <w:color w:val="0F243E" w:themeColor="text2" w:themeShade="80"/>
        </w:rPr>
        <w:t>.  Demand elasticities associated with User</w:t>
      </w:r>
      <w:r w:rsidR="00CB7E43">
        <w:rPr>
          <w:rFonts w:cstheme="minorHAnsi"/>
          <w:color w:val="0F243E" w:themeColor="text2" w:themeShade="80"/>
        </w:rPr>
        <w:t>/User Agent</w:t>
      </w:r>
      <w:r>
        <w:rPr>
          <w:rFonts w:cstheme="minorHAnsi"/>
          <w:color w:val="0F243E" w:themeColor="text2" w:themeShade="80"/>
        </w:rPr>
        <w:t xml:space="preserve"> volumes (</w:t>
      </w:r>
      <w:r w:rsidRPr="00547B2E">
        <w:rPr>
          <w:rFonts w:cstheme="minorHAnsi"/>
          <w:i/>
          <w:color w:val="0F243E" w:themeColor="text2" w:themeShade="80"/>
        </w:rPr>
        <w:t>e.g.,</w:t>
      </w:r>
      <w:r>
        <w:rPr>
          <w:rFonts w:cstheme="minorHAnsi"/>
          <w:color w:val="0F243E" w:themeColor="text2" w:themeShade="80"/>
        </w:rPr>
        <w:t xml:space="preserve"> number of queries), are expected to be high</w:t>
      </w:r>
      <w:r w:rsidR="00833882">
        <w:rPr>
          <w:rFonts w:cstheme="minorHAnsi"/>
          <w:color w:val="0F243E" w:themeColor="text2" w:themeShade="80"/>
        </w:rPr>
        <w:t>,</w:t>
      </w:r>
      <w:r w:rsidR="00833882">
        <w:rPr>
          <w:rStyle w:val="FootnoteReference"/>
          <w:rFonts w:cstheme="minorHAnsi"/>
          <w:color w:val="0F243E" w:themeColor="text2" w:themeShade="80"/>
        </w:rPr>
        <w:footnoteReference w:id="15"/>
      </w:r>
      <w:r>
        <w:rPr>
          <w:rFonts w:cstheme="minorHAnsi"/>
          <w:color w:val="0F243E" w:themeColor="text2" w:themeShade="80"/>
        </w:rPr>
        <w:t xml:space="preserve">  meaning that a high per-query rate will suppress User volumes</w:t>
      </w:r>
      <w:r w:rsidR="00CB7E43">
        <w:rPr>
          <w:rFonts w:cstheme="minorHAnsi"/>
          <w:color w:val="0F243E" w:themeColor="text2" w:themeShade="80"/>
        </w:rPr>
        <w:t>,</w:t>
      </w:r>
      <w:r>
        <w:rPr>
          <w:rFonts w:cstheme="minorHAnsi"/>
          <w:color w:val="0F243E" w:themeColor="text2" w:themeShade="80"/>
        </w:rPr>
        <w:t xml:space="preserve"> and a low rate is likely to increase User volumes.  Varying assumptions were considered, and the </w:t>
      </w:r>
      <w:r w:rsidR="00833882">
        <w:rPr>
          <w:rFonts w:cstheme="minorHAnsi"/>
          <w:color w:val="0F243E" w:themeColor="text2" w:themeShade="80"/>
        </w:rPr>
        <w:t xml:space="preserve">NANC </w:t>
      </w:r>
      <w:r>
        <w:rPr>
          <w:rFonts w:cstheme="minorHAnsi"/>
          <w:color w:val="0F243E" w:themeColor="text2" w:themeShade="80"/>
        </w:rPr>
        <w:t>presents a scenario herein on an illustrative basis (</w:t>
      </w:r>
      <w:r w:rsidRPr="00CB7E43">
        <w:rPr>
          <w:rFonts w:cstheme="minorHAnsi"/>
          <w:i/>
          <w:color w:val="0F243E" w:themeColor="text2" w:themeShade="80"/>
        </w:rPr>
        <w:t>i.e.,</w:t>
      </w:r>
      <w:r>
        <w:rPr>
          <w:rFonts w:cstheme="minorHAnsi"/>
          <w:color w:val="0F243E" w:themeColor="text2" w:themeShade="80"/>
        </w:rPr>
        <w:t xml:space="preserve"> not as a basis reflecting actual costs, rates, or User volumes).</w:t>
      </w:r>
    </w:p>
    <w:p w:rsidR="00950BAF" w:rsidRPr="00BD336F" w:rsidRDefault="007D6243" w:rsidP="009D55AB">
      <w:pPr>
        <w:pStyle w:val="Heading2"/>
      </w:pPr>
      <w:bookmarkStart w:id="25" w:name="_Toc29568363"/>
      <w:bookmarkStart w:id="26" w:name="_Toc29571008"/>
      <w:r w:rsidRPr="009D55AB">
        <w:t xml:space="preserve">Section 4.2: </w:t>
      </w:r>
      <w:r w:rsidR="00950BAF" w:rsidRPr="009D55AB">
        <w:t>Price Structure and Price Level Recommendations</w:t>
      </w:r>
      <w:bookmarkEnd w:id="25"/>
      <w:bookmarkEnd w:id="26"/>
    </w:p>
    <w:p w:rsidR="00950BAF" w:rsidRDefault="00950BAF" w:rsidP="00950BAF">
      <w:r>
        <w:t>Each User is required to establish an account with the RNDA prior to the RND processing queries from the User</w:t>
      </w:r>
      <w:r w:rsidR="00547B2E">
        <w:t xml:space="preserve"> </w:t>
      </w:r>
      <w:r>
        <w:t xml:space="preserve">(Queries will require the User to indicate a Customer Number, and that number is only provided upon completion of the account establishment).  Thus, the User will be required to complete the necessary account information prior to receiving a Customer Number, which will require payment information.  A </w:t>
      </w:r>
      <w:r w:rsidR="00547B2E">
        <w:t>U</w:t>
      </w:r>
      <w:r>
        <w:t xml:space="preserve">ser account should not be established without indication of payment information.  The RNDA must be able to allow the User to pay via a credit card, if the User so desires.  If so, the RNDA must validate the credit card before providing the Customer Number to the User.  Although use of a credit card for payment is a minimal requirement, the RNDA is not </w:t>
      </w:r>
      <w:r>
        <w:lastRenderedPageBreak/>
        <w:t>precluded from arranging other forms of payment with Users, should the User find it agreeable (</w:t>
      </w:r>
      <w:r w:rsidRPr="00547B2E">
        <w:rPr>
          <w:i/>
        </w:rPr>
        <w:t>e.g.,</w:t>
      </w:r>
      <w:r>
        <w:t xml:space="preserve"> ACH transfer, check, cash, etc.). Once the account is established, the RNDA should take steps to ensure the validity of the payment method before enabling User access.  </w:t>
      </w:r>
    </w:p>
    <w:p w:rsidR="00950BAF" w:rsidRDefault="00950BAF" w:rsidP="00950BAF">
      <w:r>
        <w:t>It is recommended that the RNDA offer Users a tiered price structure based on usage levels.  The number of levels, and the query volume (consisting of a lower and upper query volume</w:t>
      </w:r>
      <w:r w:rsidR="00547B2E">
        <w:t xml:space="preserve"> limit</w:t>
      </w:r>
      <w:r>
        <w:t>) associated with each level should be left to the discretion of the RNDA</w:t>
      </w:r>
      <w:r w:rsidR="00547B2E">
        <w:t>,</w:t>
      </w:r>
      <w:r>
        <w:t xml:space="preserve"> subject to the following constraints.  Tiers may be defined for a query volume based on a defined time period, which the RNDA may define at a monthly and/or annual time period.  It is recommended that there be a minimum of 3 levels based on increasing discounts as volumes increase. Each tier should be associated with a flat-rate amount, which is charged to the </w:t>
      </w:r>
      <w:r w:rsidR="00547B2E">
        <w:t>U</w:t>
      </w:r>
      <w:r>
        <w:t>ser at the beginning of the time period, and covers the volume of queries during that time period up to the upper query volume limit.</w:t>
      </w:r>
    </w:p>
    <w:p w:rsidR="00950BAF" w:rsidRDefault="00950BAF" w:rsidP="00950BAF">
      <w:r>
        <w:t xml:space="preserve">If the time period is an annual time period, the </w:t>
      </w:r>
      <w:r w:rsidR="00547B2E">
        <w:t>U</w:t>
      </w:r>
      <w:r>
        <w:t>ser may elect to receive monthly email notifications providing a summary of the number of queries processed for that account up to that time period (This is intended to inform the User of when they are about to hit the upper limit of the tier)</w:t>
      </w:r>
      <w:r w:rsidR="00547B2E">
        <w:t>.</w:t>
      </w:r>
      <w:r>
        <w:t xml:space="preserve">  </w:t>
      </w:r>
    </w:p>
    <w:p w:rsidR="00950BAF" w:rsidRDefault="00950BAF" w:rsidP="00950BAF">
      <w:r>
        <w:t xml:space="preserve">Once the tier query limit threshold is reached, no further queries are to be processed for that User, unless the </w:t>
      </w:r>
      <w:r w:rsidR="00547B2E">
        <w:t>U</w:t>
      </w:r>
      <w:r>
        <w:t>ser has elected to be charged for renewing the tier or upgrading to the next higher tier.  This may be indicated by the User at the time the account is established, or may be indicated afterwards, but prior to reaching the query volume threshold.</w:t>
      </w:r>
    </w:p>
    <w:p w:rsidR="00950BAF" w:rsidRDefault="00950BAF" w:rsidP="00950BAF">
      <w:r>
        <w:t>An exemplary Tier Schedule is shown below to illustrate the above concepts.  At this time, the estimates shown are provided to illustrate the pricing structure; they are illustrative only and do not reflect any sort of estimate based on market size.  It is known, for example, that there are over 4,000 debt collectors operating in the U.S. presently, and it can be predicted that a percentage of these will establish accounts at some tier.  Similarly, it is not known at this time what percentage of other market segments participants (</w:t>
      </w:r>
      <w:r w:rsidR="00547B2E" w:rsidRPr="00547B2E">
        <w:rPr>
          <w:i/>
        </w:rPr>
        <w:t>e.g.,</w:t>
      </w:r>
      <w:r w:rsidR="00547B2E">
        <w:t xml:space="preserve"> </w:t>
      </w:r>
      <w:r>
        <w:t xml:space="preserve">retail, banking, customer service, etc.) would establish accounts with the RNDA, let alone the volume of queries each would generate.  </w:t>
      </w:r>
    </w:p>
    <w:p w:rsidR="00950BAF" w:rsidRDefault="00950BAF" w:rsidP="00950BAF">
      <w:pPr>
        <w:rPr>
          <w:b/>
        </w:rPr>
      </w:pPr>
      <w:r>
        <w:rPr>
          <w:b/>
          <w:u w:val="single"/>
        </w:rPr>
        <w:t>I</w:t>
      </w:r>
      <w:r w:rsidR="00BD336F">
        <w:rPr>
          <w:b/>
          <w:u w:val="single"/>
        </w:rPr>
        <w:t>llustration</w:t>
      </w:r>
      <w:r>
        <w:rPr>
          <w:b/>
          <w:u w:val="single"/>
        </w:rPr>
        <w:t xml:space="preserve"> 1</w:t>
      </w:r>
      <w:r>
        <w:rPr>
          <w:b/>
        </w:rPr>
        <w:t>:</w:t>
      </w:r>
    </w:p>
    <w:p w:rsidR="00833882" w:rsidRPr="00833882" w:rsidRDefault="00BD336F" w:rsidP="00950BAF">
      <w:pPr>
        <w:pStyle w:val="NoSpacing"/>
        <w:jc w:val="center"/>
        <w:rPr>
          <w:rFonts w:cstheme="minorHAnsi"/>
          <w:b/>
          <w:i/>
        </w:rPr>
      </w:pPr>
      <w:r>
        <w:rPr>
          <w:rFonts w:cstheme="minorHAnsi"/>
          <w:b/>
          <w:i/>
        </w:rPr>
        <w:t xml:space="preserve">NOTE: </w:t>
      </w:r>
      <w:r w:rsidR="00950BAF" w:rsidRPr="00833882">
        <w:rPr>
          <w:rFonts w:cstheme="minorHAnsi"/>
          <w:b/>
          <w:i/>
        </w:rPr>
        <w:t>ILLUSTRATIVE RATE COMPUTATIONS</w:t>
      </w:r>
      <w:r>
        <w:rPr>
          <w:rFonts w:cstheme="minorHAnsi"/>
          <w:b/>
          <w:i/>
        </w:rPr>
        <w:t xml:space="preserve"> ONLY</w:t>
      </w:r>
      <w:r w:rsidR="00950BAF" w:rsidRPr="00833882">
        <w:rPr>
          <w:rFonts w:cstheme="minorHAnsi"/>
          <w:b/>
          <w:i/>
        </w:rPr>
        <w:t>;</w:t>
      </w:r>
    </w:p>
    <w:p w:rsidR="00950BAF" w:rsidRPr="00833882" w:rsidRDefault="00950BAF" w:rsidP="00950BAF">
      <w:pPr>
        <w:pStyle w:val="NoSpacing"/>
        <w:jc w:val="center"/>
        <w:rPr>
          <w:rFonts w:cstheme="minorHAnsi"/>
          <w:b/>
          <w:i/>
        </w:rPr>
      </w:pPr>
      <w:r w:rsidRPr="00833882">
        <w:rPr>
          <w:rFonts w:cstheme="minorHAnsi"/>
          <w:b/>
          <w:i/>
        </w:rPr>
        <w:t xml:space="preserve"> DOES NOT INDICATE ACTUAL OR ESTIMATED VOLUMES, COSTS, OR REVENUES</w:t>
      </w:r>
    </w:p>
    <w:p w:rsidR="00950BAF" w:rsidRPr="00833882" w:rsidRDefault="00950BAF" w:rsidP="00950BAF">
      <w:pPr>
        <w:pStyle w:val="NoSpacing"/>
        <w:jc w:val="center"/>
        <w:rPr>
          <w:rFonts w:cstheme="minorHAnsi"/>
          <w:b/>
        </w:rPr>
      </w:pPr>
    </w:p>
    <w:tbl>
      <w:tblPr>
        <w:tblW w:w="992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3748"/>
        <w:gridCol w:w="1377"/>
        <w:gridCol w:w="1195"/>
        <w:gridCol w:w="1195"/>
        <w:gridCol w:w="851"/>
        <w:gridCol w:w="1561"/>
      </w:tblGrid>
      <w:tr w:rsidR="007D6243" w:rsidRPr="00833882" w:rsidTr="002943CB">
        <w:trPr>
          <w:trHeight w:val="272"/>
          <w:jc w:val="center"/>
        </w:trPr>
        <w:tc>
          <w:tcPr>
            <w:tcW w:w="3748" w:type="dxa"/>
            <w:noWrap/>
            <w:tcMar>
              <w:top w:w="0" w:type="dxa"/>
              <w:left w:w="108" w:type="dxa"/>
              <w:bottom w:w="0" w:type="dxa"/>
              <w:right w:w="108" w:type="dxa"/>
            </w:tcMar>
            <w:vAlign w:val="center"/>
            <w:hideMark/>
          </w:tcPr>
          <w:p w:rsidR="00950BAF" w:rsidRPr="00833882" w:rsidRDefault="00950BAF">
            <w:pPr>
              <w:jc w:val="center"/>
              <w:rPr>
                <w:rFonts w:cstheme="minorHAnsi"/>
                <w:b/>
                <w:bCs/>
                <w:color w:val="000000"/>
                <w:u w:val="single"/>
              </w:rPr>
            </w:pPr>
            <w:r w:rsidRPr="00833882">
              <w:rPr>
                <w:rFonts w:cstheme="minorHAnsi"/>
                <w:b/>
                <w:bCs/>
                <w:color w:val="000000"/>
                <w:u w:val="single"/>
              </w:rPr>
              <w:t>Tiers</w:t>
            </w:r>
          </w:p>
        </w:tc>
        <w:tc>
          <w:tcPr>
            <w:tcW w:w="1377" w:type="dxa"/>
            <w:noWrap/>
            <w:tcMar>
              <w:top w:w="0" w:type="dxa"/>
              <w:left w:w="108" w:type="dxa"/>
              <w:bottom w:w="0" w:type="dxa"/>
              <w:right w:w="108" w:type="dxa"/>
            </w:tcMar>
            <w:vAlign w:val="center"/>
            <w:hideMark/>
          </w:tcPr>
          <w:p w:rsidR="00950BAF" w:rsidRPr="00833882" w:rsidRDefault="00950BAF">
            <w:pPr>
              <w:jc w:val="center"/>
              <w:rPr>
                <w:rFonts w:cstheme="minorHAnsi"/>
                <w:b/>
                <w:bCs/>
                <w:color w:val="000000"/>
                <w:u w:val="single"/>
              </w:rPr>
            </w:pPr>
            <w:r w:rsidRPr="00833882">
              <w:rPr>
                <w:rFonts w:cstheme="minorHAnsi"/>
                <w:b/>
                <w:bCs/>
                <w:color w:val="000000"/>
                <w:u w:val="single"/>
              </w:rPr>
              <w:t xml:space="preserve">Actual Queries </w:t>
            </w:r>
          </w:p>
        </w:tc>
        <w:tc>
          <w:tcPr>
            <w:tcW w:w="1195" w:type="dxa"/>
            <w:noWrap/>
            <w:tcMar>
              <w:top w:w="0" w:type="dxa"/>
              <w:left w:w="108" w:type="dxa"/>
              <w:bottom w:w="0" w:type="dxa"/>
              <w:right w:w="108" w:type="dxa"/>
            </w:tcMar>
            <w:vAlign w:val="center"/>
            <w:hideMark/>
          </w:tcPr>
          <w:p w:rsidR="00950BAF" w:rsidRPr="00833882" w:rsidRDefault="00950BAF">
            <w:pPr>
              <w:jc w:val="center"/>
              <w:rPr>
                <w:rFonts w:cstheme="minorHAnsi"/>
                <w:b/>
                <w:bCs/>
                <w:color w:val="000000"/>
                <w:u w:val="single"/>
              </w:rPr>
            </w:pPr>
            <w:r w:rsidRPr="00833882">
              <w:rPr>
                <w:rFonts w:cstheme="minorHAnsi"/>
                <w:b/>
                <w:bCs/>
                <w:color w:val="000000"/>
                <w:u w:val="single"/>
              </w:rPr>
              <w:t>Unit Cost</w:t>
            </w:r>
          </w:p>
        </w:tc>
        <w:tc>
          <w:tcPr>
            <w:tcW w:w="1195" w:type="dxa"/>
            <w:noWrap/>
            <w:tcMar>
              <w:top w:w="0" w:type="dxa"/>
              <w:left w:w="108" w:type="dxa"/>
              <w:bottom w:w="0" w:type="dxa"/>
              <w:right w:w="108" w:type="dxa"/>
            </w:tcMar>
            <w:vAlign w:val="center"/>
            <w:hideMark/>
          </w:tcPr>
          <w:p w:rsidR="00950BAF" w:rsidRPr="00833882" w:rsidRDefault="00950BAF">
            <w:pPr>
              <w:jc w:val="center"/>
              <w:rPr>
                <w:rFonts w:cstheme="minorHAnsi"/>
                <w:b/>
                <w:bCs/>
                <w:color w:val="000000"/>
                <w:u w:val="single"/>
              </w:rPr>
            </w:pPr>
            <w:r w:rsidRPr="00833882">
              <w:rPr>
                <w:rFonts w:cstheme="minorHAnsi"/>
                <w:b/>
                <w:bCs/>
                <w:color w:val="000000"/>
                <w:u w:val="single"/>
              </w:rPr>
              <w:t>Per-User Costs</w:t>
            </w:r>
          </w:p>
        </w:tc>
        <w:tc>
          <w:tcPr>
            <w:tcW w:w="850" w:type="dxa"/>
            <w:noWrap/>
            <w:tcMar>
              <w:top w:w="0" w:type="dxa"/>
              <w:left w:w="108" w:type="dxa"/>
              <w:bottom w:w="0" w:type="dxa"/>
              <w:right w:w="108" w:type="dxa"/>
            </w:tcMar>
            <w:vAlign w:val="center"/>
            <w:hideMark/>
          </w:tcPr>
          <w:p w:rsidR="00950BAF" w:rsidRPr="00833882" w:rsidRDefault="00950BAF">
            <w:pPr>
              <w:jc w:val="center"/>
              <w:rPr>
                <w:rFonts w:cstheme="minorHAnsi"/>
                <w:b/>
                <w:bCs/>
                <w:color w:val="000000"/>
                <w:u w:val="single"/>
              </w:rPr>
            </w:pPr>
            <w:r w:rsidRPr="00833882">
              <w:rPr>
                <w:rFonts w:cstheme="minorHAnsi"/>
                <w:b/>
                <w:bCs/>
                <w:color w:val="000000"/>
                <w:u w:val="single"/>
              </w:rPr>
              <w:t>User Counts</w:t>
            </w:r>
          </w:p>
        </w:tc>
        <w:tc>
          <w:tcPr>
            <w:tcW w:w="1561" w:type="dxa"/>
            <w:noWrap/>
            <w:tcMar>
              <w:top w:w="0" w:type="dxa"/>
              <w:left w:w="108" w:type="dxa"/>
              <w:bottom w:w="0" w:type="dxa"/>
              <w:right w:w="108" w:type="dxa"/>
            </w:tcMar>
            <w:vAlign w:val="center"/>
            <w:hideMark/>
          </w:tcPr>
          <w:p w:rsidR="00950BAF" w:rsidRPr="00833882" w:rsidRDefault="00950BAF">
            <w:pPr>
              <w:jc w:val="center"/>
              <w:rPr>
                <w:rFonts w:cstheme="minorHAnsi"/>
                <w:b/>
                <w:bCs/>
                <w:color w:val="000000"/>
                <w:u w:val="single"/>
              </w:rPr>
            </w:pPr>
            <w:r w:rsidRPr="00833882">
              <w:rPr>
                <w:rFonts w:cstheme="minorHAnsi"/>
                <w:b/>
                <w:bCs/>
                <w:color w:val="000000"/>
                <w:u w:val="single"/>
              </w:rPr>
              <w:t>Total Revenues</w:t>
            </w:r>
          </w:p>
        </w:tc>
      </w:tr>
      <w:tr w:rsidR="007D6243" w:rsidRPr="00833882" w:rsidTr="002943CB">
        <w:trPr>
          <w:trHeight w:val="272"/>
          <w:jc w:val="center"/>
        </w:trPr>
        <w:tc>
          <w:tcPr>
            <w:tcW w:w="3748" w:type="dxa"/>
            <w:noWrap/>
            <w:tcMar>
              <w:top w:w="0" w:type="dxa"/>
              <w:left w:w="108" w:type="dxa"/>
              <w:bottom w:w="0" w:type="dxa"/>
              <w:right w:w="108" w:type="dxa"/>
            </w:tcMar>
            <w:vAlign w:val="bottom"/>
            <w:hideMark/>
          </w:tcPr>
          <w:p w:rsidR="00950BAF" w:rsidRPr="00833882" w:rsidRDefault="00950BAF" w:rsidP="009A7143">
            <w:pPr>
              <w:rPr>
                <w:rFonts w:cstheme="minorHAnsi"/>
                <w:b/>
                <w:bCs/>
                <w:color w:val="222A35"/>
              </w:rPr>
            </w:pPr>
            <w:r w:rsidRPr="00833882">
              <w:rPr>
                <w:rFonts w:cstheme="minorHAnsi"/>
                <w:b/>
                <w:bCs/>
                <w:color w:val="222A35"/>
              </w:rPr>
              <w:t>T5 ˃50,000,000 Queries Per Year</w:t>
            </w:r>
          </w:p>
        </w:tc>
        <w:tc>
          <w:tcPr>
            <w:tcW w:w="1377" w:type="dxa"/>
            <w:noWrap/>
            <w:tcMar>
              <w:top w:w="0" w:type="dxa"/>
              <w:left w:w="108" w:type="dxa"/>
              <w:bottom w:w="0" w:type="dxa"/>
              <w:right w:w="108" w:type="dxa"/>
            </w:tcMar>
            <w:vAlign w:val="bottom"/>
            <w:hideMark/>
          </w:tcPr>
          <w:p w:rsidR="00950BAF" w:rsidRPr="00833882" w:rsidRDefault="00950BAF">
            <w:pPr>
              <w:jc w:val="right"/>
              <w:rPr>
                <w:rFonts w:cstheme="minorHAnsi"/>
                <w:color w:val="000000"/>
              </w:rPr>
            </w:pPr>
            <w:r w:rsidRPr="00833882">
              <w:rPr>
                <w:rFonts w:cstheme="minorHAnsi"/>
                <w:color w:val="000000"/>
              </w:rPr>
              <w:t>75,000,000</w:t>
            </w:r>
          </w:p>
        </w:tc>
        <w:tc>
          <w:tcPr>
            <w:tcW w:w="1195" w:type="dxa"/>
            <w:noWrap/>
            <w:tcMar>
              <w:top w:w="0" w:type="dxa"/>
              <w:left w:w="108" w:type="dxa"/>
              <w:bottom w:w="0" w:type="dxa"/>
              <w:right w:w="108" w:type="dxa"/>
            </w:tcMar>
            <w:vAlign w:val="bottom"/>
            <w:hideMark/>
          </w:tcPr>
          <w:p w:rsidR="00950BAF" w:rsidRPr="00833882" w:rsidRDefault="00950BAF">
            <w:pPr>
              <w:jc w:val="right"/>
              <w:rPr>
                <w:rFonts w:cstheme="minorHAnsi"/>
              </w:rPr>
            </w:pPr>
            <w:r w:rsidRPr="00833882">
              <w:rPr>
                <w:rFonts w:cstheme="minorHAnsi"/>
              </w:rPr>
              <w:t>$0.000055</w:t>
            </w:r>
          </w:p>
        </w:tc>
        <w:tc>
          <w:tcPr>
            <w:tcW w:w="1195" w:type="dxa"/>
            <w:noWrap/>
            <w:tcMar>
              <w:top w:w="0" w:type="dxa"/>
              <w:left w:w="108" w:type="dxa"/>
              <w:bottom w:w="0" w:type="dxa"/>
              <w:right w:w="108" w:type="dxa"/>
            </w:tcMar>
            <w:vAlign w:val="bottom"/>
            <w:hideMark/>
          </w:tcPr>
          <w:p w:rsidR="00950BAF" w:rsidRPr="00833882" w:rsidRDefault="00950BAF">
            <w:pPr>
              <w:jc w:val="right"/>
              <w:rPr>
                <w:rFonts w:cstheme="minorHAnsi"/>
                <w:color w:val="000000"/>
              </w:rPr>
            </w:pPr>
            <w:r w:rsidRPr="00833882">
              <w:rPr>
                <w:rFonts w:cstheme="minorHAnsi"/>
                <w:color w:val="000000"/>
              </w:rPr>
              <w:t>$4,125.00</w:t>
            </w:r>
          </w:p>
        </w:tc>
        <w:tc>
          <w:tcPr>
            <w:tcW w:w="850" w:type="dxa"/>
            <w:noWrap/>
            <w:tcMar>
              <w:top w:w="0" w:type="dxa"/>
              <w:left w:w="108" w:type="dxa"/>
              <w:bottom w:w="0" w:type="dxa"/>
              <w:right w:w="108" w:type="dxa"/>
            </w:tcMar>
            <w:vAlign w:val="bottom"/>
            <w:hideMark/>
          </w:tcPr>
          <w:p w:rsidR="00950BAF" w:rsidRPr="00833882" w:rsidRDefault="00950BAF">
            <w:pPr>
              <w:jc w:val="right"/>
              <w:rPr>
                <w:rFonts w:cstheme="minorHAnsi"/>
                <w:color w:val="000000"/>
              </w:rPr>
            </w:pPr>
            <w:r w:rsidRPr="00833882">
              <w:rPr>
                <w:rFonts w:cstheme="minorHAnsi"/>
                <w:color w:val="000000"/>
              </w:rPr>
              <w:t>100</w:t>
            </w:r>
          </w:p>
        </w:tc>
        <w:tc>
          <w:tcPr>
            <w:tcW w:w="1561" w:type="dxa"/>
            <w:noWrap/>
            <w:tcMar>
              <w:top w:w="0" w:type="dxa"/>
              <w:left w:w="108" w:type="dxa"/>
              <w:bottom w:w="0" w:type="dxa"/>
              <w:right w:w="108" w:type="dxa"/>
            </w:tcMar>
            <w:vAlign w:val="bottom"/>
            <w:hideMark/>
          </w:tcPr>
          <w:p w:rsidR="00950BAF" w:rsidRPr="00833882" w:rsidRDefault="00950BAF">
            <w:pPr>
              <w:jc w:val="right"/>
              <w:rPr>
                <w:rFonts w:cstheme="minorHAnsi"/>
                <w:color w:val="000000"/>
              </w:rPr>
            </w:pPr>
            <w:r w:rsidRPr="00833882">
              <w:rPr>
                <w:rFonts w:cstheme="minorHAnsi"/>
                <w:color w:val="000000"/>
              </w:rPr>
              <w:t>$412,500.00</w:t>
            </w:r>
          </w:p>
        </w:tc>
      </w:tr>
      <w:tr w:rsidR="007D6243" w:rsidRPr="00833882" w:rsidTr="002943CB">
        <w:trPr>
          <w:trHeight w:val="272"/>
          <w:jc w:val="center"/>
        </w:trPr>
        <w:tc>
          <w:tcPr>
            <w:tcW w:w="3748" w:type="dxa"/>
            <w:noWrap/>
            <w:tcMar>
              <w:top w:w="0" w:type="dxa"/>
              <w:left w:w="108" w:type="dxa"/>
              <w:bottom w:w="0" w:type="dxa"/>
              <w:right w:w="108" w:type="dxa"/>
            </w:tcMar>
            <w:vAlign w:val="bottom"/>
            <w:hideMark/>
          </w:tcPr>
          <w:p w:rsidR="00950BAF" w:rsidRPr="00833882" w:rsidRDefault="00950BAF" w:rsidP="009A7143">
            <w:pPr>
              <w:rPr>
                <w:rFonts w:cstheme="minorHAnsi"/>
                <w:b/>
                <w:bCs/>
                <w:color w:val="222A35"/>
              </w:rPr>
            </w:pPr>
            <w:r w:rsidRPr="00833882">
              <w:rPr>
                <w:rFonts w:cstheme="minorHAnsi"/>
                <w:b/>
                <w:bCs/>
                <w:color w:val="222A35"/>
              </w:rPr>
              <w:t xml:space="preserve">T4 5,000,001-50,000,000 Queries Per Year </w:t>
            </w:r>
          </w:p>
        </w:tc>
        <w:tc>
          <w:tcPr>
            <w:tcW w:w="1377" w:type="dxa"/>
            <w:noWrap/>
            <w:tcMar>
              <w:top w:w="0" w:type="dxa"/>
              <w:left w:w="108" w:type="dxa"/>
              <w:bottom w:w="0" w:type="dxa"/>
              <w:right w:w="108" w:type="dxa"/>
            </w:tcMar>
            <w:vAlign w:val="bottom"/>
            <w:hideMark/>
          </w:tcPr>
          <w:p w:rsidR="00950BAF" w:rsidRPr="00833882" w:rsidRDefault="00950BAF">
            <w:pPr>
              <w:jc w:val="right"/>
              <w:rPr>
                <w:rFonts w:cstheme="minorHAnsi"/>
                <w:color w:val="000000"/>
              </w:rPr>
            </w:pPr>
            <w:r w:rsidRPr="00833882">
              <w:rPr>
                <w:rFonts w:cstheme="minorHAnsi"/>
                <w:color w:val="000000"/>
              </w:rPr>
              <w:t>50,000,000</w:t>
            </w:r>
          </w:p>
        </w:tc>
        <w:tc>
          <w:tcPr>
            <w:tcW w:w="1195" w:type="dxa"/>
            <w:noWrap/>
            <w:tcMar>
              <w:top w:w="0" w:type="dxa"/>
              <w:left w:w="108" w:type="dxa"/>
              <w:bottom w:w="0" w:type="dxa"/>
              <w:right w:w="108" w:type="dxa"/>
            </w:tcMar>
            <w:vAlign w:val="bottom"/>
            <w:hideMark/>
          </w:tcPr>
          <w:p w:rsidR="00950BAF" w:rsidRPr="00833882" w:rsidRDefault="00950BAF">
            <w:pPr>
              <w:jc w:val="right"/>
              <w:rPr>
                <w:rFonts w:cstheme="minorHAnsi"/>
              </w:rPr>
            </w:pPr>
            <w:r w:rsidRPr="00833882">
              <w:rPr>
                <w:rFonts w:cstheme="minorHAnsi"/>
              </w:rPr>
              <w:t>$0.00005</w:t>
            </w:r>
          </w:p>
        </w:tc>
        <w:tc>
          <w:tcPr>
            <w:tcW w:w="1195" w:type="dxa"/>
            <w:noWrap/>
            <w:tcMar>
              <w:top w:w="0" w:type="dxa"/>
              <w:left w:w="108" w:type="dxa"/>
              <w:bottom w:w="0" w:type="dxa"/>
              <w:right w:w="108" w:type="dxa"/>
            </w:tcMar>
            <w:vAlign w:val="bottom"/>
            <w:hideMark/>
          </w:tcPr>
          <w:p w:rsidR="00950BAF" w:rsidRPr="00833882" w:rsidRDefault="00950BAF">
            <w:pPr>
              <w:jc w:val="right"/>
              <w:rPr>
                <w:rFonts w:cstheme="minorHAnsi"/>
                <w:color w:val="000000"/>
              </w:rPr>
            </w:pPr>
            <w:r w:rsidRPr="00833882">
              <w:rPr>
                <w:rFonts w:cstheme="minorHAnsi"/>
                <w:color w:val="000000"/>
              </w:rPr>
              <w:t>$2,500.00</w:t>
            </w:r>
          </w:p>
        </w:tc>
        <w:tc>
          <w:tcPr>
            <w:tcW w:w="850" w:type="dxa"/>
            <w:noWrap/>
            <w:tcMar>
              <w:top w:w="0" w:type="dxa"/>
              <w:left w:w="108" w:type="dxa"/>
              <w:bottom w:w="0" w:type="dxa"/>
              <w:right w:w="108" w:type="dxa"/>
            </w:tcMar>
            <w:vAlign w:val="bottom"/>
            <w:hideMark/>
          </w:tcPr>
          <w:p w:rsidR="00950BAF" w:rsidRPr="00833882" w:rsidRDefault="00950BAF">
            <w:pPr>
              <w:jc w:val="right"/>
              <w:rPr>
                <w:rFonts w:cstheme="minorHAnsi"/>
                <w:color w:val="000000"/>
              </w:rPr>
            </w:pPr>
            <w:r w:rsidRPr="00833882">
              <w:rPr>
                <w:rFonts w:cstheme="minorHAnsi"/>
                <w:color w:val="000000"/>
              </w:rPr>
              <w:t>150</w:t>
            </w:r>
          </w:p>
        </w:tc>
        <w:tc>
          <w:tcPr>
            <w:tcW w:w="1561" w:type="dxa"/>
            <w:noWrap/>
            <w:tcMar>
              <w:top w:w="0" w:type="dxa"/>
              <w:left w:w="108" w:type="dxa"/>
              <w:bottom w:w="0" w:type="dxa"/>
              <w:right w:w="108" w:type="dxa"/>
            </w:tcMar>
            <w:vAlign w:val="bottom"/>
            <w:hideMark/>
          </w:tcPr>
          <w:p w:rsidR="00950BAF" w:rsidRPr="00833882" w:rsidRDefault="00950BAF">
            <w:pPr>
              <w:jc w:val="right"/>
              <w:rPr>
                <w:rFonts w:cstheme="minorHAnsi"/>
                <w:color w:val="000000"/>
              </w:rPr>
            </w:pPr>
            <w:r w:rsidRPr="00833882">
              <w:rPr>
                <w:rFonts w:cstheme="minorHAnsi"/>
                <w:color w:val="000000"/>
              </w:rPr>
              <w:t>$375,000.00</w:t>
            </w:r>
          </w:p>
        </w:tc>
      </w:tr>
      <w:tr w:rsidR="007D6243" w:rsidRPr="00833882" w:rsidTr="002943CB">
        <w:trPr>
          <w:trHeight w:val="272"/>
          <w:jc w:val="center"/>
        </w:trPr>
        <w:tc>
          <w:tcPr>
            <w:tcW w:w="3748" w:type="dxa"/>
            <w:noWrap/>
            <w:tcMar>
              <w:top w:w="0" w:type="dxa"/>
              <w:left w:w="108" w:type="dxa"/>
              <w:bottom w:w="0" w:type="dxa"/>
              <w:right w:w="108" w:type="dxa"/>
            </w:tcMar>
            <w:vAlign w:val="bottom"/>
            <w:hideMark/>
          </w:tcPr>
          <w:p w:rsidR="00950BAF" w:rsidRPr="00833882" w:rsidRDefault="00950BAF" w:rsidP="009A7143">
            <w:pPr>
              <w:rPr>
                <w:rFonts w:cstheme="minorHAnsi"/>
                <w:b/>
                <w:bCs/>
                <w:color w:val="222A35"/>
              </w:rPr>
            </w:pPr>
            <w:r w:rsidRPr="00833882">
              <w:rPr>
                <w:rFonts w:cstheme="minorHAnsi"/>
                <w:b/>
                <w:bCs/>
                <w:color w:val="222A35"/>
              </w:rPr>
              <w:t xml:space="preserve">T3 500,001-5,000,000 Queries Per Year </w:t>
            </w:r>
          </w:p>
        </w:tc>
        <w:tc>
          <w:tcPr>
            <w:tcW w:w="1377" w:type="dxa"/>
            <w:noWrap/>
            <w:tcMar>
              <w:top w:w="0" w:type="dxa"/>
              <w:left w:w="108" w:type="dxa"/>
              <w:bottom w:w="0" w:type="dxa"/>
              <w:right w:w="108" w:type="dxa"/>
            </w:tcMar>
            <w:vAlign w:val="bottom"/>
            <w:hideMark/>
          </w:tcPr>
          <w:p w:rsidR="00950BAF" w:rsidRPr="00833882" w:rsidRDefault="00950BAF">
            <w:pPr>
              <w:jc w:val="right"/>
              <w:rPr>
                <w:rFonts w:cstheme="minorHAnsi"/>
                <w:color w:val="000000"/>
              </w:rPr>
            </w:pPr>
            <w:r w:rsidRPr="00833882">
              <w:rPr>
                <w:rFonts w:cstheme="minorHAnsi"/>
                <w:color w:val="000000"/>
              </w:rPr>
              <w:t>5,000,000</w:t>
            </w:r>
          </w:p>
        </w:tc>
        <w:tc>
          <w:tcPr>
            <w:tcW w:w="1195" w:type="dxa"/>
            <w:noWrap/>
            <w:tcMar>
              <w:top w:w="0" w:type="dxa"/>
              <w:left w:w="108" w:type="dxa"/>
              <w:bottom w:w="0" w:type="dxa"/>
              <w:right w:w="108" w:type="dxa"/>
            </w:tcMar>
            <w:vAlign w:val="bottom"/>
            <w:hideMark/>
          </w:tcPr>
          <w:p w:rsidR="00950BAF" w:rsidRPr="00833882" w:rsidRDefault="00950BAF">
            <w:pPr>
              <w:jc w:val="right"/>
              <w:rPr>
                <w:rFonts w:cstheme="minorHAnsi"/>
              </w:rPr>
            </w:pPr>
            <w:r w:rsidRPr="00833882">
              <w:rPr>
                <w:rFonts w:cstheme="minorHAnsi"/>
              </w:rPr>
              <w:t>$0.0002</w:t>
            </w:r>
          </w:p>
        </w:tc>
        <w:tc>
          <w:tcPr>
            <w:tcW w:w="1195" w:type="dxa"/>
            <w:noWrap/>
            <w:tcMar>
              <w:top w:w="0" w:type="dxa"/>
              <w:left w:w="108" w:type="dxa"/>
              <w:bottom w:w="0" w:type="dxa"/>
              <w:right w:w="108" w:type="dxa"/>
            </w:tcMar>
            <w:vAlign w:val="bottom"/>
            <w:hideMark/>
          </w:tcPr>
          <w:p w:rsidR="00950BAF" w:rsidRPr="00833882" w:rsidRDefault="00950BAF">
            <w:pPr>
              <w:jc w:val="right"/>
              <w:rPr>
                <w:rFonts w:cstheme="minorHAnsi"/>
                <w:color w:val="000000"/>
              </w:rPr>
            </w:pPr>
            <w:r w:rsidRPr="00833882">
              <w:rPr>
                <w:rFonts w:cstheme="minorHAnsi"/>
                <w:color w:val="000000"/>
              </w:rPr>
              <w:t>$1,000.00</w:t>
            </w:r>
          </w:p>
        </w:tc>
        <w:tc>
          <w:tcPr>
            <w:tcW w:w="850" w:type="dxa"/>
            <w:noWrap/>
            <w:tcMar>
              <w:top w:w="0" w:type="dxa"/>
              <w:left w:w="108" w:type="dxa"/>
              <w:bottom w:w="0" w:type="dxa"/>
              <w:right w:w="108" w:type="dxa"/>
            </w:tcMar>
            <w:vAlign w:val="bottom"/>
            <w:hideMark/>
          </w:tcPr>
          <w:p w:rsidR="00950BAF" w:rsidRPr="00833882" w:rsidRDefault="00950BAF">
            <w:pPr>
              <w:jc w:val="right"/>
              <w:rPr>
                <w:rFonts w:cstheme="minorHAnsi"/>
                <w:color w:val="000000"/>
              </w:rPr>
            </w:pPr>
            <w:r w:rsidRPr="00833882">
              <w:rPr>
                <w:rFonts w:cstheme="minorHAnsi"/>
                <w:color w:val="000000"/>
              </w:rPr>
              <w:t>200</w:t>
            </w:r>
          </w:p>
        </w:tc>
        <w:tc>
          <w:tcPr>
            <w:tcW w:w="1561" w:type="dxa"/>
            <w:noWrap/>
            <w:tcMar>
              <w:top w:w="0" w:type="dxa"/>
              <w:left w:w="108" w:type="dxa"/>
              <w:bottom w:w="0" w:type="dxa"/>
              <w:right w:w="108" w:type="dxa"/>
            </w:tcMar>
            <w:vAlign w:val="bottom"/>
            <w:hideMark/>
          </w:tcPr>
          <w:p w:rsidR="00950BAF" w:rsidRPr="00833882" w:rsidRDefault="00950BAF">
            <w:pPr>
              <w:jc w:val="right"/>
              <w:rPr>
                <w:rFonts w:cstheme="minorHAnsi"/>
                <w:color w:val="000000"/>
              </w:rPr>
            </w:pPr>
            <w:r w:rsidRPr="00833882">
              <w:rPr>
                <w:rFonts w:cstheme="minorHAnsi"/>
                <w:color w:val="000000"/>
              </w:rPr>
              <w:t>$200,000.00</w:t>
            </w:r>
          </w:p>
        </w:tc>
      </w:tr>
      <w:tr w:rsidR="007D6243" w:rsidRPr="00833882" w:rsidTr="002943CB">
        <w:trPr>
          <w:trHeight w:val="272"/>
          <w:jc w:val="center"/>
        </w:trPr>
        <w:tc>
          <w:tcPr>
            <w:tcW w:w="3748" w:type="dxa"/>
            <w:noWrap/>
            <w:tcMar>
              <w:top w:w="0" w:type="dxa"/>
              <w:left w:w="108" w:type="dxa"/>
              <w:bottom w:w="0" w:type="dxa"/>
              <w:right w:w="108" w:type="dxa"/>
            </w:tcMar>
            <w:vAlign w:val="bottom"/>
            <w:hideMark/>
          </w:tcPr>
          <w:p w:rsidR="00950BAF" w:rsidRPr="00833882" w:rsidRDefault="00950BAF" w:rsidP="009A7143">
            <w:pPr>
              <w:rPr>
                <w:rFonts w:cstheme="minorHAnsi"/>
                <w:b/>
                <w:bCs/>
                <w:color w:val="222A35"/>
              </w:rPr>
            </w:pPr>
            <w:r w:rsidRPr="00833882">
              <w:rPr>
                <w:rFonts w:cstheme="minorHAnsi"/>
                <w:b/>
                <w:bCs/>
                <w:color w:val="222A35"/>
              </w:rPr>
              <w:t>T2 501-500,000 Queries Per Year</w:t>
            </w:r>
          </w:p>
        </w:tc>
        <w:tc>
          <w:tcPr>
            <w:tcW w:w="1377" w:type="dxa"/>
            <w:noWrap/>
            <w:tcMar>
              <w:top w:w="0" w:type="dxa"/>
              <w:left w:w="108" w:type="dxa"/>
              <w:bottom w:w="0" w:type="dxa"/>
              <w:right w:w="108" w:type="dxa"/>
            </w:tcMar>
            <w:vAlign w:val="bottom"/>
            <w:hideMark/>
          </w:tcPr>
          <w:p w:rsidR="00950BAF" w:rsidRPr="00833882" w:rsidRDefault="00950BAF">
            <w:pPr>
              <w:jc w:val="right"/>
              <w:rPr>
                <w:rFonts w:cstheme="minorHAnsi"/>
                <w:color w:val="000000"/>
              </w:rPr>
            </w:pPr>
            <w:r w:rsidRPr="00833882">
              <w:rPr>
                <w:rFonts w:cstheme="minorHAnsi"/>
                <w:color w:val="000000"/>
              </w:rPr>
              <w:t>500,000</w:t>
            </w:r>
          </w:p>
        </w:tc>
        <w:tc>
          <w:tcPr>
            <w:tcW w:w="1195" w:type="dxa"/>
            <w:noWrap/>
            <w:tcMar>
              <w:top w:w="0" w:type="dxa"/>
              <w:left w:w="108" w:type="dxa"/>
              <w:bottom w:w="0" w:type="dxa"/>
              <w:right w:w="108" w:type="dxa"/>
            </w:tcMar>
            <w:vAlign w:val="bottom"/>
            <w:hideMark/>
          </w:tcPr>
          <w:p w:rsidR="00950BAF" w:rsidRPr="00833882" w:rsidRDefault="00950BAF">
            <w:pPr>
              <w:jc w:val="right"/>
              <w:rPr>
                <w:rFonts w:cstheme="minorHAnsi"/>
              </w:rPr>
            </w:pPr>
            <w:r w:rsidRPr="00833882">
              <w:rPr>
                <w:rFonts w:cstheme="minorHAnsi"/>
              </w:rPr>
              <w:t>$0.00025</w:t>
            </w:r>
          </w:p>
        </w:tc>
        <w:tc>
          <w:tcPr>
            <w:tcW w:w="1195" w:type="dxa"/>
            <w:noWrap/>
            <w:tcMar>
              <w:top w:w="0" w:type="dxa"/>
              <w:left w:w="108" w:type="dxa"/>
              <w:bottom w:w="0" w:type="dxa"/>
              <w:right w:w="108" w:type="dxa"/>
            </w:tcMar>
            <w:vAlign w:val="bottom"/>
            <w:hideMark/>
          </w:tcPr>
          <w:p w:rsidR="00950BAF" w:rsidRPr="00833882" w:rsidRDefault="00950BAF">
            <w:pPr>
              <w:jc w:val="right"/>
              <w:rPr>
                <w:rFonts w:cstheme="minorHAnsi"/>
                <w:color w:val="000000"/>
              </w:rPr>
            </w:pPr>
            <w:r w:rsidRPr="00833882">
              <w:rPr>
                <w:rFonts w:cstheme="minorHAnsi"/>
                <w:color w:val="000000"/>
              </w:rPr>
              <w:t>$125.00</w:t>
            </w:r>
          </w:p>
        </w:tc>
        <w:tc>
          <w:tcPr>
            <w:tcW w:w="850" w:type="dxa"/>
            <w:noWrap/>
            <w:tcMar>
              <w:top w:w="0" w:type="dxa"/>
              <w:left w:w="108" w:type="dxa"/>
              <w:bottom w:w="0" w:type="dxa"/>
              <w:right w:w="108" w:type="dxa"/>
            </w:tcMar>
            <w:vAlign w:val="bottom"/>
            <w:hideMark/>
          </w:tcPr>
          <w:p w:rsidR="00950BAF" w:rsidRPr="00833882" w:rsidRDefault="00950BAF">
            <w:pPr>
              <w:jc w:val="right"/>
              <w:rPr>
                <w:rFonts w:cstheme="minorHAnsi"/>
                <w:color w:val="000000"/>
              </w:rPr>
            </w:pPr>
            <w:r w:rsidRPr="00833882">
              <w:rPr>
                <w:rFonts w:cstheme="minorHAnsi"/>
                <w:color w:val="000000"/>
              </w:rPr>
              <w:t>100</w:t>
            </w:r>
          </w:p>
        </w:tc>
        <w:tc>
          <w:tcPr>
            <w:tcW w:w="1561" w:type="dxa"/>
            <w:noWrap/>
            <w:tcMar>
              <w:top w:w="0" w:type="dxa"/>
              <w:left w:w="108" w:type="dxa"/>
              <w:bottom w:w="0" w:type="dxa"/>
              <w:right w:w="108" w:type="dxa"/>
            </w:tcMar>
            <w:vAlign w:val="bottom"/>
            <w:hideMark/>
          </w:tcPr>
          <w:p w:rsidR="00950BAF" w:rsidRPr="00833882" w:rsidRDefault="00950BAF">
            <w:pPr>
              <w:jc w:val="right"/>
              <w:rPr>
                <w:rFonts w:cstheme="minorHAnsi"/>
                <w:color w:val="000000"/>
              </w:rPr>
            </w:pPr>
            <w:r w:rsidRPr="00833882">
              <w:rPr>
                <w:rFonts w:cstheme="minorHAnsi"/>
                <w:color w:val="000000"/>
              </w:rPr>
              <w:t>$12,500.00</w:t>
            </w:r>
          </w:p>
        </w:tc>
      </w:tr>
      <w:tr w:rsidR="007D6243" w:rsidRPr="00833882" w:rsidTr="002943CB">
        <w:trPr>
          <w:trHeight w:val="272"/>
          <w:jc w:val="center"/>
        </w:trPr>
        <w:tc>
          <w:tcPr>
            <w:tcW w:w="3748" w:type="dxa"/>
            <w:noWrap/>
            <w:tcMar>
              <w:top w:w="0" w:type="dxa"/>
              <w:left w:w="108" w:type="dxa"/>
              <w:bottom w:w="0" w:type="dxa"/>
              <w:right w:w="108" w:type="dxa"/>
            </w:tcMar>
            <w:vAlign w:val="bottom"/>
            <w:hideMark/>
          </w:tcPr>
          <w:p w:rsidR="00950BAF" w:rsidRPr="00833882" w:rsidRDefault="00950BAF" w:rsidP="009A7143">
            <w:pPr>
              <w:rPr>
                <w:rFonts w:cstheme="minorHAnsi"/>
                <w:b/>
                <w:bCs/>
                <w:color w:val="222A35"/>
              </w:rPr>
            </w:pPr>
            <w:r w:rsidRPr="00833882">
              <w:rPr>
                <w:rFonts w:cstheme="minorHAnsi"/>
                <w:b/>
                <w:bCs/>
                <w:color w:val="222A35"/>
              </w:rPr>
              <w:t>T1 1-500 Queries Per Year</w:t>
            </w:r>
          </w:p>
        </w:tc>
        <w:tc>
          <w:tcPr>
            <w:tcW w:w="1377" w:type="dxa"/>
            <w:noWrap/>
            <w:tcMar>
              <w:top w:w="0" w:type="dxa"/>
              <w:left w:w="108" w:type="dxa"/>
              <w:bottom w:w="0" w:type="dxa"/>
              <w:right w:w="108" w:type="dxa"/>
            </w:tcMar>
            <w:vAlign w:val="bottom"/>
            <w:hideMark/>
          </w:tcPr>
          <w:p w:rsidR="00950BAF" w:rsidRPr="00833882" w:rsidRDefault="00950BAF">
            <w:pPr>
              <w:jc w:val="right"/>
              <w:rPr>
                <w:rFonts w:cstheme="minorHAnsi"/>
                <w:color w:val="000000"/>
              </w:rPr>
            </w:pPr>
            <w:r w:rsidRPr="00833882">
              <w:rPr>
                <w:rFonts w:cstheme="minorHAnsi"/>
                <w:color w:val="000000"/>
              </w:rPr>
              <w:t>500</w:t>
            </w:r>
          </w:p>
        </w:tc>
        <w:tc>
          <w:tcPr>
            <w:tcW w:w="1195" w:type="dxa"/>
            <w:noWrap/>
            <w:tcMar>
              <w:top w:w="0" w:type="dxa"/>
              <w:left w:w="108" w:type="dxa"/>
              <w:bottom w:w="0" w:type="dxa"/>
              <w:right w:w="108" w:type="dxa"/>
            </w:tcMar>
            <w:vAlign w:val="bottom"/>
            <w:hideMark/>
          </w:tcPr>
          <w:p w:rsidR="00950BAF" w:rsidRPr="00833882" w:rsidRDefault="00950BAF">
            <w:pPr>
              <w:jc w:val="right"/>
              <w:rPr>
                <w:rFonts w:cstheme="minorHAnsi"/>
              </w:rPr>
            </w:pPr>
            <w:r w:rsidRPr="00833882">
              <w:rPr>
                <w:rFonts w:cstheme="minorHAnsi"/>
              </w:rPr>
              <w:t>$0.1</w:t>
            </w:r>
          </w:p>
        </w:tc>
        <w:tc>
          <w:tcPr>
            <w:tcW w:w="1195" w:type="dxa"/>
            <w:noWrap/>
            <w:tcMar>
              <w:top w:w="0" w:type="dxa"/>
              <w:left w:w="108" w:type="dxa"/>
              <w:bottom w:w="0" w:type="dxa"/>
              <w:right w:w="108" w:type="dxa"/>
            </w:tcMar>
            <w:vAlign w:val="bottom"/>
            <w:hideMark/>
          </w:tcPr>
          <w:p w:rsidR="00950BAF" w:rsidRPr="00833882" w:rsidRDefault="00950BAF">
            <w:pPr>
              <w:jc w:val="right"/>
              <w:rPr>
                <w:rFonts w:cstheme="minorHAnsi"/>
                <w:color w:val="000000"/>
              </w:rPr>
            </w:pPr>
            <w:r w:rsidRPr="00833882">
              <w:rPr>
                <w:rFonts w:cstheme="minorHAnsi"/>
                <w:color w:val="000000"/>
              </w:rPr>
              <w:t>$50.00</w:t>
            </w:r>
          </w:p>
        </w:tc>
        <w:tc>
          <w:tcPr>
            <w:tcW w:w="850" w:type="dxa"/>
            <w:noWrap/>
            <w:tcMar>
              <w:top w:w="0" w:type="dxa"/>
              <w:left w:w="108" w:type="dxa"/>
              <w:bottom w:w="0" w:type="dxa"/>
              <w:right w:w="108" w:type="dxa"/>
            </w:tcMar>
            <w:vAlign w:val="bottom"/>
            <w:hideMark/>
          </w:tcPr>
          <w:p w:rsidR="00950BAF" w:rsidRPr="00833882" w:rsidRDefault="00950BAF">
            <w:pPr>
              <w:jc w:val="right"/>
              <w:rPr>
                <w:rFonts w:cstheme="minorHAnsi"/>
                <w:color w:val="000000"/>
              </w:rPr>
            </w:pPr>
            <w:r w:rsidRPr="00833882">
              <w:rPr>
                <w:rFonts w:cstheme="minorHAnsi"/>
                <w:color w:val="000000"/>
              </w:rPr>
              <w:t>50</w:t>
            </w:r>
          </w:p>
        </w:tc>
        <w:tc>
          <w:tcPr>
            <w:tcW w:w="1561" w:type="dxa"/>
            <w:noWrap/>
            <w:tcMar>
              <w:top w:w="0" w:type="dxa"/>
              <w:left w:w="108" w:type="dxa"/>
              <w:bottom w:w="0" w:type="dxa"/>
              <w:right w:w="108" w:type="dxa"/>
            </w:tcMar>
            <w:vAlign w:val="bottom"/>
            <w:hideMark/>
          </w:tcPr>
          <w:p w:rsidR="00950BAF" w:rsidRPr="00833882" w:rsidRDefault="00950BAF">
            <w:pPr>
              <w:jc w:val="right"/>
              <w:rPr>
                <w:rFonts w:cstheme="minorHAnsi"/>
                <w:color w:val="000000"/>
              </w:rPr>
            </w:pPr>
            <w:r w:rsidRPr="00833882">
              <w:rPr>
                <w:rFonts w:cstheme="minorHAnsi"/>
                <w:color w:val="000000"/>
              </w:rPr>
              <w:t>$2,500.00</w:t>
            </w:r>
          </w:p>
        </w:tc>
      </w:tr>
      <w:tr w:rsidR="007D6243" w:rsidRPr="00833882" w:rsidTr="002943CB">
        <w:trPr>
          <w:trHeight w:val="272"/>
          <w:jc w:val="center"/>
        </w:trPr>
        <w:tc>
          <w:tcPr>
            <w:tcW w:w="3748" w:type="dxa"/>
            <w:noWrap/>
            <w:tcMar>
              <w:top w:w="0" w:type="dxa"/>
              <w:left w:w="108" w:type="dxa"/>
              <w:bottom w:w="0" w:type="dxa"/>
              <w:right w:w="108" w:type="dxa"/>
            </w:tcMar>
            <w:vAlign w:val="bottom"/>
            <w:hideMark/>
          </w:tcPr>
          <w:p w:rsidR="00950BAF" w:rsidRPr="00833882" w:rsidRDefault="00950BAF">
            <w:pPr>
              <w:rPr>
                <w:rFonts w:cstheme="minorHAnsi"/>
                <w:color w:val="000000"/>
              </w:rPr>
            </w:pPr>
          </w:p>
        </w:tc>
        <w:tc>
          <w:tcPr>
            <w:tcW w:w="1377" w:type="dxa"/>
            <w:noWrap/>
            <w:tcMar>
              <w:top w:w="0" w:type="dxa"/>
              <w:left w:w="108" w:type="dxa"/>
              <w:bottom w:w="0" w:type="dxa"/>
              <w:right w:w="108" w:type="dxa"/>
            </w:tcMar>
            <w:vAlign w:val="bottom"/>
            <w:hideMark/>
          </w:tcPr>
          <w:p w:rsidR="00950BAF" w:rsidRPr="00833882" w:rsidRDefault="00950BAF">
            <w:pPr>
              <w:spacing w:after="0"/>
              <w:rPr>
                <w:rFonts w:cstheme="minorHAnsi"/>
              </w:rPr>
            </w:pPr>
          </w:p>
        </w:tc>
        <w:tc>
          <w:tcPr>
            <w:tcW w:w="1195" w:type="dxa"/>
            <w:noWrap/>
            <w:tcMar>
              <w:top w:w="0" w:type="dxa"/>
              <w:left w:w="108" w:type="dxa"/>
              <w:bottom w:w="0" w:type="dxa"/>
              <w:right w:w="108" w:type="dxa"/>
            </w:tcMar>
            <w:vAlign w:val="bottom"/>
            <w:hideMark/>
          </w:tcPr>
          <w:p w:rsidR="00950BAF" w:rsidRPr="00833882" w:rsidRDefault="00950BAF">
            <w:pPr>
              <w:spacing w:after="0"/>
              <w:rPr>
                <w:rFonts w:cstheme="minorHAnsi"/>
              </w:rPr>
            </w:pPr>
          </w:p>
        </w:tc>
        <w:tc>
          <w:tcPr>
            <w:tcW w:w="1195" w:type="dxa"/>
            <w:noWrap/>
            <w:tcMar>
              <w:top w:w="0" w:type="dxa"/>
              <w:left w:w="108" w:type="dxa"/>
              <w:bottom w:w="0" w:type="dxa"/>
              <w:right w:w="108" w:type="dxa"/>
            </w:tcMar>
            <w:vAlign w:val="bottom"/>
            <w:hideMark/>
          </w:tcPr>
          <w:p w:rsidR="00950BAF" w:rsidRPr="00833882" w:rsidRDefault="00950BAF">
            <w:pPr>
              <w:spacing w:after="0"/>
              <w:rPr>
                <w:rFonts w:cstheme="minorHAnsi"/>
              </w:rPr>
            </w:pPr>
          </w:p>
        </w:tc>
        <w:tc>
          <w:tcPr>
            <w:tcW w:w="850" w:type="dxa"/>
            <w:noWrap/>
            <w:tcMar>
              <w:top w:w="0" w:type="dxa"/>
              <w:left w:w="108" w:type="dxa"/>
              <w:bottom w:w="0" w:type="dxa"/>
              <w:right w:w="108" w:type="dxa"/>
            </w:tcMar>
            <w:vAlign w:val="bottom"/>
            <w:hideMark/>
          </w:tcPr>
          <w:p w:rsidR="00950BAF" w:rsidRPr="00833882" w:rsidRDefault="00950BAF">
            <w:pPr>
              <w:spacing w:after="0"/>
              <w:rPr>
                <w:rFonts w:cstheme="minorHAnsi"/>
              </w:rPr>
            </w:pPr>
          </w:p>
        </w:tc>
        <w:tc>
          <w:tcPr>
            <w:tcW w:w="1561" w:type="dxa"/>
            <w:noWrap/>
            <w:tcMar>
              <w:top w:w="0" w:type="dxa"/>
              <w:left w:w="108" w:type="dxa"/>
              <w:bottom w:w="0" w:type="dxa"/>
              <w:right w:w="108" w:type="dxa"/>
            </w:tcMar>
            <w:vAlign w:val="bottom"/>
            <w:hideMark/>
          </w:tcPr>
          <w:p w:rsidR="00950BAF" w:rsidRPr="00833882" w:rsidRDefault="00950BAF">
            <w:pPr>
              <w:jc w:val="right"/>
              <w:rPr>
                <w:rFonts w:cstheme="minorHAnsi"/>
                <w:b/>
                <w:bCs/>
                <w:color w:val="0000FF"/>
              </w:rPr>
            </w:pPr>
            <w:r w:rsidRPr="00833882">
              <w:rPr>
                <w:rFonts w:cstheme="minorHAnsi"/>
                <w:b/>
                <w:bCs/>
              </w:rPr>
              <w:t>$1,002,500.00</w:t>
            </w:r>
          </w:p>
        </w:tc>
      </w:tr>
    </w:tbl>
    <w:p w:rsidR="00950BAF" w:rsidRDefault="00950BAF" w:rsidP="00950BAF"/>
    <w:p w:rsidR="00950BAF" w:rsidRDefault="00950BAF" w:rsidP="00950BAF">
      <w:r>
        <w:t xml:space="preserve">Finally, consideration should be given to extending the safe harbor to </w:t>
      </w:r>
      <w:r w:rsidR="00547B2E">
        <w:t>User</w:t>
      </w:r>
      <w:r w:rsidR="009A7143">
        <w:t>s</w:t>
      </w:r>
      <w:r w:rsidR="00547B2E">
        <w:t xml:space="preserve"> whose </w:t>
      </w:r>
      <w:r>
        <w:t xml:space="preserve">queries </w:t>
      </w:r>
      <w:r w:rsidR="00547B2E">
        <w:t>generate a</w:t>
      </w:r>
      <w:r>
        <w:t xml:space="preserve"> response of “no data” to help stimulate usage </w:t>
      </w:r>
      <w:r w:rsidR="00547B2E">
        <w:t xml:space="preserve">of </w:t>
      </w:r>
      <w:r>
        <w:t>the RND.</w:t>
      </w:r>
      <w:r w:rsidR="00CB7E43" w:rsidDel="00CB7E43">
        <w:t xml:space="preserve"> </w:t>
      </w:r>
    </w:p>
    <w:p w:rsidR="00870A7A" w:rsidRDefault="00870A7A" w:rsidP="00214E64">
      <w:pPr>
        <w:pStyle w:val="Heading1"/>
      </w:pPr>
      <w:bookmarkStart w:id="27" w:name="_Toc29571009"/>
      <w:r>
        <w:t>Section 5:  Glossary</w:t>
      </w:r>
      <w:bookmarkEnd w:id="27"/>
    </w:p>
    <w:tbl>
      <w:tblPr>
        <w:tblStyle w:val="TableGrid"/>
        <w:tblW w:w="10214" w:type="dxa"/>
        <w:tblLook w:val="04A0" w:firstRow="1" w:lastRow="0" w:firstColumn="1" w:lastColumn="0" w:noHBand="0" w:noVBand="1"/>
      </w:tblPr>
      <w:tblGrid>
        <w:gridCol w:w="2965"/>
        <w:gridCol w:w="7249"/>
      </w:tblGrid>
      <w:tr w:rsidR="005D5D47" w:rsidTr="005118EE">
        <w:tc>
          <w:tcPr>
            <w:tcW w:w="2965" w:type="dxa"/>
          </w:tcPr>
          <w:p w:rsidR="005D5D47" w:rsidRPr="005118EE" w:rsidRDefault="005D5D47" w:rsidP="00893D68">
            <w:r w:rsidRPr="005118EE">
              <w:rPr>
                <w:bCs/>
                <w:color w:val="000000"/>
              </w:rPr>
              <w:t>Billing and Collection Agent</w:t>
            </w:r>
          </w:p>
        </w:tc>
        <w:tc>
          <w:tcPr>
            <w:tcW w:w="7249" w:type="dxa"/>
            <w:vAlign w:val="center"/>
          </w:tcPr>
          <w:p w:rsidR="005D5D47" w:rsidRDefault="005D5D47" w:rsidP="00893D68">
            <w:r>
              <w:rPr>
                <w:color w:val="000000"/>
              </w:rPr>
              <w:t>The entity responsible for the collection of funds to support numbering administration for telecommunications services from the United States telecommunications industry and NANP member countries (47 CFR §52.7 (f); see also 47 CFR §52.16).</w:t>
            </w:r>
          </w:p>
        </w:tc>
      </w:tr>
      <w:tr w:rsidR="005D5D47" w:rsidTr="005118EE">
        <w:tc>
          <w:tcPr>
            <w:tcW w:w="2965" w:type="dxa"/>
          </w:tcPr>
          <w:p w:rsidR="005D5D47" w:rsidRPr="005118EE" w:rsidRDefault="005D5D47" w:rsidP="00893D68">
            <w:pPr>
              <w:rPr>
                <w:bCs/>
                <w:color w:val="000000"/>
              </w:rPr>
            </w:pPr>
            <w:r w:rsidRPr="005118EE">
              <w:rPr>
                <w:bCs/>
                <w:color w:val="000000"/>
              </w:rPr>
              <w:t>FCC 499-A</w:t>
            </w:r>
          </w:p>
        </w:tc>
        <w:tc>
          <w:tcPr>
            <w:tcW w:w="7249" w:type="dxa"/>
          </w:tcPr>
          <w:p w:rsidR="005D5D47" w:rsidRDefault="00A137DB" w:rsidP="00893D68">
            <w:pPr>
              <w:rPr>
                <w:color w:val="000000"/>
              </w:rPr>
            </w:pPr>
            <w:r w:rsidRPr="00A137DB">
              <w:rPr>
                <w:color w:val="000000"/>
              </w:rPr>
              <w:t>The Form 499-A is used to determine a company’s required contribution to the Universal Service Fund (“USF”), as well as to the Local Number Portability Administration (“LNPA”), North American Numbering Plan Administration (“NANPA”) and TRS funds, and is the basis for a carrier’s annual FCC regulatory fee.  For new providers, the Form 499-A also serves as a carrier’s FCC registration.</w:t>
            </w:r>
          </w:p>
        </w:tc>
      </w:tr>
      <w:tr w:rsidR="00492D1B" w:rsidTr="005118EE">
        <w:tc>
          <w:tcPr>
            <w:tcW w:w="2965" w:type="dxa"/>
          </w:tcPr>
          <w:p w:rsidR="00492D1B" w:rsidRPr="005118EE" w:rsidRDefault="00492D1B" w:rsidP="00893D68">
            <w:pPr>
              <w:rPr>
                <w:bCs/>
                <w:color w:val="000000"/>
              </w:rPr>
            </w:pPr>
            <w:r w:rsidRPr="005118EE">
              <w:rPr>
                <w:bCs/>
                <w:color w:val="000000"/>
              </w:rPr>
              <w:t>Illustrative Pricing Structure</w:t>
            </w:r>
          </w:p>
        </w:tc>
        <w:tc>
          <w:tcPr>
            <w:tcW w:w="7249" w:type="dxa"/>
          </w:tcPr>
          <w:p w:rsidR="00492D1B" w:rsidRDefault="00191D7F" w:rsidP="00893D68">
            <w:pPr>
              <w:rPr>
                <w:color w:val="000000"/>
              </w:rPr>
            </w:pPr>
            <w:r>
              <w:rPr>
                <w:color w:val="000000"/>
              </w:rPr>
              <w:t xml:space="preserve">Pricing model created for demonstration </w:t>
            </w:r>
            <w:r w:rsidR="009B4AD3">
              <w:rPr>
                <w:color w:val="000000"/>
              </w:rPr>
              <w:t xml:space="preserve">purposes </w:t>
            </w:r>
            <w:r>
              <w:rPr>
                <w:color w:val="000000"/>
              </w:rPr>
              <w:t>only.</w:t>
            </w:r>
          </w:p>
        </w:tc>
      </w:tr>
      <w:tr w:rsidR="005D5D47" w:rsidTr="005118EE">
        <w:tc>
          <w:tcPr>
            <w:tcW w:w="2965" w:type="dxa"/>
          </w:tcPr>
          <w:p w:rsidR="005D5D47" w:rsidRPr="005118EE" w:rsidRDefault="005D5D47" w:rsidP="00893D68">
            <w:r w:rsidRPr="005118EE">
              <w:rPr>
                <w:bCs/>
                <w:color w:val="000000"/>
              </w:rPr>
              <w:t>North American Numbering Council (NANC)</w:t>
            </w:r>
          </w:p>
        </w:tc>
        <w:tc>
          <w:tcPr>
            <w:tcW w:w="7249" w:type="dxa"/>
          </w:tcPr>
          <w:p w:rsidR="005D5D47" w:rsidRDefault="005D5D47" w:rsidP="00893D68">
            <w:r>
              <w:rPr>
                <w:color w:val="000000"/>
              </w:rPr>
              <w:t>A Federal Advisory Committee established pursuant to the United States Federal Advisory Committee Act (FACA) as amended, 5 U.S.C. App 2.  The purpose of the NANC is to advise the FCC and to make recommendations that foster efficient and impartial NANP administration.  The NANC advises the FCC on numbering policy and technical issues in areas of responsibility the FCC has entrusted to the NANC, with a focus on examining numbering in the changing, modern world of communications.</w:t>
            </w:r>
          </w:p>
        </w:tc>
      </w:tr>
      <w:tr w:rsidR="005D5D47" w:rsidTr="005118EE">
        <w:tc>
          <w:tcPr>
            <w:tcW w:w="2965" w:type="dxa"/>
            <w:vAlign w:val="center"/>
          </w:tcPr>
          <w:p w:rsidR="005D5D47" w:rsidRPr="005118EE" w:rsidRDefault="005D5D47" w:rsidP="005D5D47">
            <w:pPr>
              <w:rPr>
                <w:bCs/>
                <w:color w:val="000000"/>
              </w:rPr>
            </w:pPr>
            <w:r w:rsidRPr="005118EE">
              <w:rPr>
                <w:bCs/>
                <w:color w:val="000000"/>
              </w:rPr>
              <w:t>North American Numbering Plan Administrator</w:t>
            </w:r>
            <w:r w:rsidR="00492D1B" w:rsidRPr="005118EE">
              <w:rPr>
                <w:bCs/>
                <w:color w:val="000000"/>
              </w:rPr>
              <w:t xml:space="preserve"> (NANPA)</w:t>
            </w:r>
          </w:p>
        </w:tc>
        <w:tc>
          <w:tcPr>
            <w:tcW w:w="7249" w:type="dxa"/>
            <w:vAlign w:val="center"/>
          </w:tcPr>
          <w:p w:rsidR="005D5D47" w:rsidRDefault="00EB4B24" w:rsidP="005D5D47">
            <w:pPr>
              <w:rPr>
                <w:color w:val="000000"/>
              </w:rPr>
            </w:pPr>
            <w:r w:rsidRPr="00EB4B24">
              <w:rPr>
                <w:color w:val="000000"/>
              </w:rPr>
              <w:t>The NANPA is responsible for the neutral administration of NANP numbering resources, subject to directives from regulatory authorities in the NANP member countries (see also 47 CFR §52.7 (e)).  The NANPA is an impartial non-governmental entity that is not aligned with any particular telecommunications industry segment.   Under contract to the FCC, NANPA's responsibilities include assignment of NANP resources, and, in the U.S. and its territories, coordination of area code relief planning and collection</w:t>
            </w:r>
            <w:r>
              <w:rPr>
                <w:color w:val="000000"/>
              </w:rPr>
              <w:t xml:space="preserve"> </w:t>
            </w:r>
            <w:r w:rsidRPr="00EB4B24">
              <w:rPr>
                <w:color w:val="000000"/>
              </w:rPr>
              <w:t>of utilization and forecast data.  See also 47 CFR § 52.13.</w:t>
            </w:r>
          </w:p>
        </w:tc>
      </w:tr>
      <w:tr w:rsidR="005D5D47" w:rsidTr="005118EE">
        <w:tc>
          <w:tcPr>
            <w:tcW w:w="2965" w:type="dxa"/>
            <w:vAlign w:val="center"/>
          </w:tcPr>
          <w:p w:rsidR="005D5D47" w:rsidRPr="005118EE" w:rsidRDefault="00EB4B24" w:rsidP="000D1E12">
            <w:pPr>
              <w:rPr>
                <w:bCs/>
                <w:color w:val="000000"/>
              </w:rPr>
            </w:pPr>
            <w:r w:rsidRPr="005118EE">
              <w:rPr>
                <w:bCs/>
                <w:color w:val="000000"/>
              </w:rPr>
              <w:t>North American Numbering Plan (</w:t>
            </w:r>
            <w:r w:rsidR="005D5D47" w:rsidRPr="005118EE">
              <w:rPr>
                <w:bCs/>
                <w:color w:val="000000"/>
              </w:rPr>
              <w:t>NANP</w:t>
            </w:r>
            <w:r w:rsidRPr="005118EE">
              <w:rPr>
                <w:bCs/>
                <w:color w:val="000000"/>
              </w:rPr>
              <w:t>)</w:t>
            </w:r>
            <w:r w:rsidR="005D5D47" w:rsidRPr="005118EE">
              <w:rPr>
                <w:bCs/>
                <w:color w:val="000000"/>
              </w:rPr>
              <w:t xml:space="preserve"> Fund</w:t>
            </w:r>
          </w:p>
        </w:tc>
        <w:tc>
          <w:tcPr>
            <w:tcW w:w="7249" w:type="dxa"/>
            <w:vAlign w:val="center"/>
          </w:tcPr>
          <w:p w:rsidR="005D5D47" w:rsidRDefault="008A498C" w:rsidP="005118EE">
            <w:pPr>
              <w:rPr>
                <w:color w:val="000000"/>
              </w:rPr>
            </w:pPr>
            <w:r w:rsidRPr="008A498C">
              <w:rPr>
                <w:color w:val="000000"/>
              </w:rPr>
              <w:t>The North American Numbering Plan (NANP) is a numbering scheme for the public switched telecommunications networks (PSTN) within the United States, Canada and participating Caribbean countries.</w:t>
            </w:r>
            <w:r>
              <w:rPr>
                <w:color w:val="000000"/>
              </w:rPr>
              <w:t xml:space="preserve">  </w:t>
            </w:r>
            <w:r w:rsidRPr="008A498C">
              <w:rPr>
                <w:color w:val="000000"/>
              </w:rPr>
              <w:t xml:space="preserve">The NANP Fund was established to cover the costs of the NANP which included the costs of the administrator for the numbering plan and central code administration and other administration costs of the Plan. NANP is funded by United States telecommunication service providers, and from </w:t>
            </w:r>
            <w:r w:rsidR="005118EE">
              <w:rPr>
                <w:color w:val="000000"/>
              </w:rPr>
              <w:t xml:space="preserve">other </w:t>
            </w:r>
            <w:r w:rsidRPr="008A498C">
              <w:rPr>
                <w:color w:val="000000"/>
              </w:rPr>
              <w:t>member countries.</w:t>
            </w:r>
            <w:r>
              <w:rPr>
                <w:color w:val="000000"/>
              </w:rPr>
              <w:t xml:space="preserve"> 47 CFR §52.17</w:t>
            </w:r>
          </w:p>
        </w:tc>
      </w:tr>
      <w:tr w:rsidR="005D5D47" w:rsidTr="005118EE">
        <w:tc>
          <w:tcPr>
            <w:tcW w:w="2965" w:type="dxa"/>
            <w:vAlign w:val="center"/>
          </w:tcPr>
          <w:p w:rsidR="005D5D47" w:rsidRPr="005118EE" w:rsidRDefault="005D5D47" w:rsidP="005D5D47">
            <w:r w:rsidRPr="005118EE">
              <w:rPr>
                <w:bCs/>
                <w:color w:val="000000"/>
              </w:rPr>
              <w:t>Pooling Administrator</w:t>
            </w:r>
            <w:r w:rsidR="00492D1B" w:rsidRPr="005118EE">
              <w:rPr>
                <w:bCs/>
                <w:color w:val="000000"/>
              </w:rPr>
              <w:t xml:space="preserve"> (PA)</w:t>
            </w:r>
          </w:p>
        </w:tc>
        <w:tc>
          <w:tcPr>
            <w:tcW w:w="7249" w:type="dxa"/>
            <w:vAlign w:val="center"/>
          </w:tcPr>
          <w:p w:rsidR="005D5D47" w:rsidRDefault="00EB4B24" w:rsidP="00097070">
            <w:r w:rsidRPr="00EB4B24">
              <w:t xml:space="preserve">The term Pooling Administrator refers to the entity or entities responsible for administering a </w:t>
            </w:r>
            <w:proofErr w:type="spellStart"/>
            <w:r w:rsidRPr="00EB4B24">
              <w:t>thousands</w:t>
            </w:r>
            <w:proofErr w:type="spellEnd"/>
            <w:r w:rsidRPr="00EB4B24">
              <w:t>-block number pool (</w:t>
            </w:r>
            <w:r w:rsidR="00097070">
              <w:t>47 CFR</w:t>
            </w:r>
            <w:r w:rsidRPr="00EB4B24">
              <w:t xml:space="preserve"> §52.7 (g)). The Pooling Administrator is responsible for the neutral administration of thousands-blocks from Central Office (CO) Codes in areas where thousands-block number pooling has been ordered or implemented. The PA is an impartial non-governmental entity that is not aligned with any particular telecommunications industry segment and is under contract to the FCC.</w:t>
            </w:r>
          </w:p>
        </w:tc>
      </w:tr>
      <w:tr w:rsidR="005D5D47" w:rsidTr="005118EE">
        <w:tc>
          <w:tcPr>
            <w:tcW w:w="2965" w:type="dxa"/>
          </w:tcPr>
          <w:p w:rsidR="005D5D47" w:rsidRPr="005118EE" w:rsidRDefault="005D5D47" w:rsidP="005D5D47">
            <w:r w:rsidRPr="005118EE">
              <w:rPr>
                <w:bCs/>
                <w:color w:val="000000"/>
              </w:rPr>
              <w:lastRenderedPageBreak/>
              <w:t>Reassigned Number</w:t>
            </w:r>
            <w:r w:rsidR="00B757FD" w:rsidRPr="005118EE">
              <w:rPr>
                <w:bCs/>
                <w:color w:val="000000"/>
              </w:rPr>
              <w:t>s</w:t>
            </w:r>
            <w:r w:rsidRPr="005118EE">
              <w:rPr>
                <w:bCs/>
                <w:color w:val="000000"/>
              </w:rPr>
              <w:t xml:space="preserve"> Database</w:t>
            </w:r>
          </w:p>
        </w:tc>
        <w:tc>
          <w:tcPr>
            <w:tcW w:w="7249" w:type="dxa"/>
          </w:tcPr>
          <w:p w:rsidR="005D5D47" w:rsidRDefault="005D5D47" w:rsidP="005D5D47">
            <w:r>
              <w:rPr>
                <w:color w:val="000000"/>
              </w:rPr>
              <w:t>The database which will contain a list of all US geographic and Toll Free NANP numbers that have been permanently disconnected and the disconnect date that Users and User Agents will be able to query to validate whether a telephone number has the potential to have been reassigned.</w:t>
            </w:r>
          </w:p>
        </w:tc>
      </w:tr>
      <w:tr w:rsidR="005D5D47" w:rsidTr="005118EE">
        <w:tc>
          <w:tcPr>
            <w:tcW w:w="2965" w:type="dxa"/>
          </w:tcPr>
          <w:p w:rsidR="005D5D47" w:rsidRPr="005118EE" w:rsidRDefault="005D5D47" w:rsidP="005D5D47">
            <w:r w:rsidRPr="005118EE">
              <w:rPr>
                <w:bCs/>
                <w:color w:val="000000"/>
              </w:rPr>
              <w:t>Reassigned Number</w:t>
            </w:r>
            <w:r w:rsidR="00B757FD" w:rsidRPr="005118EE">
              <w:rPr>
                <w:bCs/>
                <w:color w:val="000000"/>
              </w:rPr>
              <w:t>s</w:t>
            </w:r>
            <w:r w:rsidRPr="005118EE">
              <w:rPr>
                <w:bCs/>
                <w:color w:val="000000"/>
              </w:rPr>
              <w:t xml:space="preserve"> Database Administrator</w:t>
            </w:r>
          </w:p>
        </w:tc>
        <w:tc>
          <w:tcPr>
            <w:tcW w:w="7249" w:type="dxa"/>
          </w:tcPr>
          <w:p w:rsidR="005D5D47" w:rsidRDefault="005D5D47" w:rsidP="005D5D47">
            <w:r>
              <w:rPr>
                <w:color w:val="000000"/>
              </w:rPr>
              <w:t>The entity which will maintain the Reassigned Number</w:t>
            </w:r>
            <w:r w:rsidR="00B757FD">
              <w:rPr>
                <w:color w:val="000000"/>
              </w:rPr>
              <w:t>s</w:t>
            </w:r>
            <w:r>
              <w:rPr>
                <w:color w:val="000000"/>
              </w:rPr>
              <w:t xml:space="preserve"> Database.</w:t>
            </w:r>
          </w:p>
        </w:tc>
      </w:tr>
      <w:tr w:rsidR="005D5D47" w:rsidTr="005118EE">
        <w:tc>
          <w:tcPr>
            <w:tcW w:w="2965" w:type="dxa"/>
          </w:tcPr>
          <w:p w:rsidR="005D5D47" w:rsidRPr="005118EE" w:rsidRDefault="005D5D47" w:rsidP="005D5D47">
            <w:r w:rsidRPr="005118EE">
              <w:rPr>
                <w:bCs/>
                <w:color w:val="000000"/>
              </w:rPr>
              <w:t>User</w:t>
            </w:r>
          </w:p>
        </w:tc>
        <w:tc>
          <w:tcPr>
            <w:tcW w:w="7249" w:type="dxa"/>
          </w:tcPr>
          <w:p w:rsidR="005D5D47" w:rsidRDefault="00097070" w:rsidP="00097070">
            <w:r>
              <w:rPr>
                <w:color w:val="000000"/>
              </w:rPr>
              <w:t>For purposes of this document, a</w:t>
            </w:r>
            <w:r w:rsidR="005D5D47">
              <w:rPr>
                <w:color w:val="000000"/>
              </w:rPr>
              <w:t>ny person</w:t>
            </w:r>
            <w:r>
              <w:rPr>
                <w:color w:val="000000"/>
              </w:rPr>
              <w:t xml:space="preserve">, </w:t>
            </w:r>
            <w:r w:rsidR="005D5D47">
              <w:rPr>
                <w:color w:val="000000"/>
              </w:rPr>
              <w:t>entity</w:t>
            </w:r>
            <w:r>
              <w:rPr>
                <w:color w:val="000000"/>
              </w:rPr>
              <w:t xml:space="preserve"> or agent thereof</w:t>
            </w:r>
            <w:r w:rsidR="005D5D47">
              <w:rPr>
                <w:color w:val="000000"/>
              </w:rPr>
              <w:t xml:space="preserve"> that queries the Reassigned Number Database to determine whether a telephone number has the potential to have been reassigned.</w:t>
            </w:r>
          </w:p>
        </w:tc>
      </w:tr>
    </w:tbl>
    <w:p w:rsidR="00893D68" w:rsidRDefault="00893D68" w:rsidP="00950BAF"/>
    <w:p w:rsidR="00870A7A" w:rsidRPr="002F4255" w:rsidRDefault="00870A7A" w:rsidP="00950BAF"/>
    <w:sectPr w:rsidR="00870A7A" w:rsidRPr="002F4255" w:rsidSect="00C80A52">
      <w:footerReference w:type="default" r:id="rId8"/>
      <w:pgSz w:w="12240" w:h="15840"/>
      <w:pgMar w:top="1008" w:right="1008" w:bottom="1008" w:left="1008"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7DB3" w:rsidRDefault="00327DB3" w:rsidP="009D42A3">
      <w:pPr>
        <w:spacing w:after="0" w:line="240" w:lineRule="auto"/>
      </w:pPr>
      <w:r>
        <w:separator/>
      </w:r>
    </w:p>
  </w:endnote>
  <w:endnote w:type="continuationSeparator" w:id="0">
    <w:p w:rsidR="00327DB3" w:rsidRDefault="00327DB3" w:rsidP="009D4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8415979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rsidR="00541F92" w:rsidRPr="00541F92" w:rsidRDefault="00541F92">
            <w:pPr>
              <w:pStyle w:val="Footer"/>
              <w:jc w:val="right"/>
              <w:rPr>
                <w:sz w:val="18"/>
                <w:szCs w:val="18"/>
              </w:rPr>
            </w:pPr>
            <w:r w:rsidRPr="00541F92">
              <w:rPr>
                <w:sz w:val="18"/>
                <w:szCs w:val="18"/>
              </w:rPr>
              <w:t xml:space="preserve">Page </w:t>
            </w:r>
            <w:r w:rsidRPr="00541F92">
              <w:rPr>
                <w:bCs/>
                <w:sz w:val="18"/>
                <w:szCs w:val="18"/>
              </w:rPr>
              <w:fldChar w:fldCharType="begin"/>
            </w:r>
            <w:r w:rsidRPr="00541F92">
              <w:rPr>
                <w:bCs/>
                <w:sz w:val="18"/>
                <w:szCs w:val="18"/>
              </w:rPr>
              <w:instrText xml:space="preserve"> PAGE </w:instrText>
            </w:r>
            <w:r w:rsidRPr="00541F92">
              <w:rPr>
                <w:bCs/>
                <w:sz w:val="18"/>
                <w:szCs w:val="18"/>
              </w:rPr>
              <w:fldChar w:fldCharType="separate"/>
            </w:r>
            <w:r w:rsidR="00671791">
              <w:rPr>
                <w:bCs/>
                <w:noProof/>
                <w:sz w:val="18"/>
                <w:szCs w:val="18"/>
              </w:rPr>
              <w:t>2</w:t>
            </w:r>
            <w:r w:rsidRPr="00541F92">
              <w:rPr>
                <w:bCs/>
                <w:sz w:val="18"/>
                <w:szCs w:val="18"/>
              </w:rPr>
              <w:fldChar w:fldCharType="end"/>
            </w:r>
            <w:r w:rsidRPr="00541F92">
              <w:rPr>
                <w:sz w:val="18"/>
                <w:szCs w:val="18"/>
              </w:rPr>
              <w:t xml:space="preserve"> of </w:t>
            </w:r>
            <w:r w:rsidRPr="00541F92">
              <w:rPr>
                <w:bCs/>
                <w:sz w:val="18"/>
                <w:szCs w:val="18"/>
              </w:rPr>
              <w:fldChar w:fldCharType="begin"/>
            </w:r>
            <w:r w:rsidRPr="00541F92">
              <w:rPr>
                <w:bCs/>
                <w:sz w:val="18"/>
                <w:szCs w:val="18"/>
              </w:rPr>
              <w:instrText xml:space="preserve"> NUMPAGES  </w:instrText>
            </w:r>
            <w:r w:rsidRPr="00541F92">
              <w:rPr>
                <w:bCs/>
                <w:sz w:val="18"/>
                <w:szCs w:val="18"/>
              </w:rPr>
              <w:fldChar w:fldCharType="separate"/>
            </w:r>
            <w:r w:rsidR="00671791">
              <w:rPr>
                <w:bCs/>
                <w:noProof/>
                <w:sz w:val="18"/>
                <w:szCs w:val="18"/>
              </w:rPr>
              <w:t>2</w:t>
            </w:r>
            <w:r w:rsidRPr="00541F92">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7DB3" w:rsidRDefault="00327DB3" w:rsidP="009D42A3">
      <w:pPr>
        <w:spacing w:after="0" w:line="240" w:lineRule="auto"/>
      </w:pPr>
      <w:r>
        <w:separator/>
      </w:r>
    </w:p>
  </w:footnote>
  <w:footnote w:type="continuationSeparator" w:id="0">
    <w:p w:rsidR="00327DB3" w:rsidRDefault="00327DB3" w:rsidP="009D42A3">
      <w:pPr>
        <w:spacing w:after="0" w:line="240" w:lineRule="auto"/>
      </w:pPr>
      <w:r>
        <w:continuationSeparator/>
      </w:r>
    </w:p>
  </w:footnote>
  <w:footnote w:id="1">
    <w:p w:rsidR="00BF4809" w:rsidRDefault="00BF4809">
      <w:pPr>
        <w:pStyle w:val="FootnoteText"/>
      </w:pPr>
      <w:r>
        <w:rPr>
          <w:rStyle w:val="FootnoteReference"/>
        </w:rPr>
        <w:footnoteRef/>
      </w:r>
      <w:r>
        <w:t xml:space="preserve"> See </w:t>
      </w:r>
      <w:hyperlink r:id="rId1" w:history="1">
        <w:r w:rsidRPr="00D2195E">
          <w:rPr>
            <w:rStyle w:val="Hyperlink"/>
            <w:rFonts w:cstheme="minorHAnsi"/>
            <w:color w:val="000080" w:themeColor="hyperlink" w:themeShade="80"/>
          </w:rPr>
          <w:t>https://docs.fcc.gov/public/attachments/DOC-355526A2.pdf</w:t>
        </w:r>
      </w:hyperlink>
      <w:r>
        <w:rPr>
          <w:rFonts w:cstheme="minorHAnsi"/>
          <w:color w:val="0F243E" w:themeColor="text2" w:themeShade="80"/>
        </w:rPr>
        <w:t xml:space="preserve">. </w:t>
      </w:r>
    </w:p>
  </w:footnote>
  <w:footnote w:id="2">
    <w:p w:rsidR="00400D37" w:rsidRDefault="00400D37">
      <w:pPr>
        <w:pStyle w:val="FootnoteText"/>
      </w:pPr>
      <w:r>
        <w:rPr>
          <w:rStyle w:val="FootnoteReference"/>
        </w:rPr>
        <w:footnoteRef/>
      </w:r>
      <w:r>
        <w:t xml:space="preserve"> See 18-177, available at </w:t>
      </w:r>
      <w:hyperlink r:id="rId2" w:history="1">
        <w:r w:rsidRPr="00541F92">
          <w:rPr>
            <w:rStyle w:val="Hyperlink"/>
          </w:rPr>
          <w:t>https://docs.fcc.gov/public/attachments/FCC-18-177A1.pdf</w:t>
        </w:r>
      </w:hyperlink>
      <w:r>
        <w:rPr>
          <w:rStyle w:val="Hyperlink"/>
        </w:rPr>
        <w:t xml:space="preserve">. </w:t>
      </w:r>
    </w:p>
  </w:footnote>
  <w:footnote w:id="3">
    <w:p w:rsidR="00677F44" w:rsidRPr="00541F92" w:rsidRDefault="00677F44" w:rsidP="00677F44">
      <w:pPr>
        <w:pStyle w:val="FootnoteText"/>
      </w:pPr>
      <w:r w:rsidRPr="00541F92">
        <w:rPr>
          <w:rStyle w:val="FootnoteReference"/>
        </w:rPr>
        <w:footnoteRef/>
      </w:r>
      <w:r w:rsidRPr="00541F92">
        <w:t xml:space="preserve"> </w:t>
      </w:r>
      <w:r w:rsidR="009D09EC" w:rsidRPr="00541F92">
        <w:t xml:space="preserve">See 18-177 </w:t>
      </w:r>
      <w:r w:rsidR="009D09EC" w:rsidRPr="00541F92">
        <w:rPr>
          <w:rFonts w:cstheme="minorHAnsi"/>
        </w:rPr>
        <w:t>¶</w:t>
      </w:r>
      <w:r w:rsidR="009D09EC" w:rsidRPr="00541F92">
        <w:t xml:space="preserve"> 59-62</w:t>
      </w:r>
    </w:p>
  </w:footnote>
  <w:footnote w:id="4">
    <w:p w:rsidR="00A44C0C" w:rsidRPr="00541F92" w:rsidRDefault="00A44C0C">
      <w:pPr>
        <w:pStyle w:val="FootnoteText"/>
      </w:pPr>
      <w:r w:rsidRPr="00541F92">
        <w:rPr>
          <w:rStyle w:val="FootnoteReference"/>
        </w:rPr>
        <w:footnoteRef/>
      </w:r>
      <w:r w:rsidR="00893D68">
        <w:t xml:space="preserve"> </w:t>
      </w:r>
      <w:r w:rsidRPr="00541F92">
        <w:t xml:space="preserve">See 18-177 </w:t>
      </w:r>
      <w:r w:rsidR="00677F44" w:rsidRPr="00541F92">
        <w:rPr>
          <w:rFonts w:cstheme="minorHAnsi"/>
        </w:rPr>
        <w:t>¶</w:t>
      </w:r>
      <w:r w:rsidR="00677F44" w:rsidRPr="00541F92">
        <w:t xml:space="preserve"> </w:t>
      </w:r>
      <w:r w:rsidRPr="00541F92">
        <w:t>34, 47</w:t>
      </w:r>
    </w:p>
  </w:footnote>
  <w:footnote w:id="5">
    <w:p w:rsidR="009D42A3" w:rsidRPr="00541F92" w:rsidRDefault="009D42A3">
      <w:pPr>
        <w:pStyle w:val="FootnoteText"/>
      </w:pPr>
      <w:r w:rsidRPr="00541F92">
        <w:rPr>
          <w:rStyle w:val="FootnoteReference"/>
        </w:rPr>
        <w:footnoteRef/>
      </w:r>
      <w:r w:rsidRPr="00541F92">
        <w:t xml:space="preserve"> See 18-177 </w:t>
      </w:r>
      <w:r w:rsidR="00677F44" w:rsidRPr="00541F92">
        <w:rPr>
          <w:rFonts w:cstheme="minorHAnsi"/>
        </w:rPr>
        <w:t>¶</w:t>
      </w:r>
      <w:r w:rsidR="00677F44" w:rsidRPr="00541F92">
        <w:t xml:space="preserve"> </w:t>
      </w:r>
      <w:r w:rsidR="00A44C0C" w:rsidRPr="00541F92">
        <w:t>60</w:t>
      </w:r>
    </w:p>
  </w:footnote>
  <w:footnote w:id="6">
    <w:p w:rsidR="005D34FE" w:rsidRPr="00541F92" w:rsidRDefault="005D34FE">
      <w:pPr>
        <w:pStyle w:val="FootnoteText"/>
      </w:pPr>
      <w:r w:rsidRPr="00541F92">
        <w:rPr>
          <w:rStyle w:val="FootnoteReference"/>
        </w:rPr>
        <w:footnoteRef/>
      </w:r>
      <w:r w:rsidRPr="00541F92">
        <w:t xml:space="preserve"> See </w:t>
      </w:r>
      <w:hyperlink r:id="rId3" w:history="1">
        <w:r w:rsidRPr="00541F92">
          <w:rPr>
            <w:rStyle w:val="Hyperlink"/>
          </w:rPr>
          <w:t>http://nanpfund.com/</w:t>
        </w:r>
      </w:hyperlink>
      <w:r w:rsidRPr="00541F92">
        <w:t xml:space="preserve"> </w:t>
      </w:r>
    </w:p>
  </w:footnote>
  <w:footnote w:id="7">
    <w:p w:rsidR="009D42A3" w:rsidRPr="00541F92" w:rsidRDefault="009D42A3">
      <w:pPr>
        <w:pStyle w:val="FootnoteText"/>
      </w:pPr>
      <w:r w:rsidRPr="00541F92">
        <w:rPr>
          <w:rStyle w:val="FootnoteReference"/>
        </w:rPr>
        <w:footnoteRef/>
      </w:r>
      <w:r w:rsidRPr="00541F92">
        <w:t xml:space="preserve"> See 18-177 </w:t>
      </w:r>
      <w:r w:rsidR="00677F44" w:rsidRPr="00541F92">
        <w:rPr>
          <w:rFonts w:cstheme="minorHAnsi"/>
        </w:rPr>
        <w:t>¶</w:t>
      </w:r>
      <w:r w:rsidR="00677F44" w:rsidRPr="00541F92">
        <w:t xml:space="preserve"> </w:t>
      </w:r>
      <w:r w:rsidRPr="00541F92">
        <w:t>46</w:t>
      </w:r>
    </w:p>
  </w:footnote>
  <w:footnote w:id="8">
    <w:p w:rsidR="00B564AC" w:rsidRPr="00541F92" w:rsidRDefault="00B564AC">
      <w:pPr>
        <w:pStyle w:val="FootnoteText"/>
      </w:pPr>
      <w:r w:rsidRPr="00541F92">
        <w:rPr>
          <w:rStyle w:val="FootnoteReference"/>
        </w:rPr>
        <w:footnoteRef/>
      </w:r>
      <w:r w:rsidRPr="00541F92">
        <w:t xml:space="preserve"> This meeting typically takes place in June.</w:t>
      </w:r>
    </w:p>
  </w:footnote>
  <w:footnote w:id="9">
    <w:p w:rsidR="00A12DFB" w:rsidRPr="00541F92" w:rsidRDefault="00A12DFB">
      <w:pPr>
        <w:pStyle w:val="FootnoteText"/>
      </w:pPr>
      <w:r w:rsidRPr="00541F92">
        <w:rPr>
          <w:rStyle w:val="FootnoteReference"/>
        </w:rPr>
        <w:footnoteRef/>
      </w:r>
      <w:r w:rsidRPr="00541F92">
        <w:t xml:space="preserve"> </w:t>
      </w:r>
      <w:r w:rsidR="00677F44" w:rsidRPr="00541F92">
        <w:t>The d</w:t>
      </w:r>
      <w:r w:rsidRPr="00541F92">
        <w:t>eadline for service provider filing of FCC Form 499a is April 1st</w:t>
      </w:r>
      <w:r w:rsidR="00CB7E43" w:rsidRPr="00541F92">
        <w:t>.</w:t>
      </w:r>
      <w:r w:rsidRPr="00541F92">
        <w:t xml:space="preserve"> </w:t>
      </w:r>
    </w:p>
  </w:footnote>
  <w:footnote w:id="10">
    <w:p w:rsidR="008D440E" w:rsidRDefault="008D440E">
      <w:pPr>
        <w:pStyle w:val="FootnoteText"/>
      </w:pPr>
      <w:r>
        <w:rPr>
          <w:rStyle w:val="FootnoteReference"/>
        </w:rPr>
        <w:footnoteRef/>
      </w:r>
      <w:r>
        <w:t xml:space="preserve"> See 18-177 </w:t>
      </w:r>
      <w:r w:rsidR="00CB7E43">
        <w:rPr>
          <w:rFonts w:cstheme="minorHAnsi"/>
        </w:rPr>
        <w:t xml:space="preserve">¶ </w:t>
      </w:r>
      <w:r>
        <w:t>46</w:t>
      </w:r>
    </w:p>
  </w:footnote>
  <w:footnote w:id="11">
    <w:p w:rsidR="00A7386B" w:rsidRDefault="00A7386B">
      <w:pPr>
        <w:pStyle w:val="FootnoteText"/>
      </w:pPr>
      <w:r>
        <w:rPr>
          <w:rStyle w:val="FootnoteReference"/>
        </w:rPr>
        <w:footnoteRef/>
      </w:r>
      <w:r>
        <w:t xml:space="preserve"> See </w:t>
      </w:r>
      <w:r w:rsidRPr="00A7386B">
        <w:t>47 C</w:t>
      </w:r>
      <w:r>
        <w:t>FR</w:t>
      </w:r>
      <w:r w:rsidRPr="00A7386B">
        <w:t xml:space="preserve"> </w:t>
      </w:r>
      <w:r>
        <w:rPr>
          <w:rFonts w:cstheme="minorHAnsi"/>
        </w:rPr>
        <w:t>§</w:t>
      </w:r>
      <w:r w:rsidRPr="00A7386B">
        <w:t>52.17.</w:t>
      </w:r>
      <w:r>
        <w:t xml:space="preserve"> See also the Frequently Asked Questions located at </w:t>
      </w:r>
      <w:hyperlink r:id="rId4" w:history="1">
        <w:r>
          <w:rPr>
            <w:rStyle w:val="Hyperlink"/>
          </w:rPr>
          <w:t>http://nanpfund.com/faqs/</w:t>
        </w:r>
      </w:hyperlink>
      <w:r>
        <w:t>.</w:t>
      </w:r>
    </w:p>
  </w:footnote>
  <w:footnote w:id="12">
    <w:p w:rsidR="00317EB0" w:rsidRDefault="00317EB0">
      <w:pPr>
        <w:pStyle w:val="FootnoteText"/>
      </w:pPr>
      <w:r>
        <w:rPr>
          <w:rStyle w:val="FootnoteReference"/>
        </w:rPr>
        <w:footnoteRef/>
      </w:r>
      <w:r>
        <w:t xml:space="preserve"> See18-177 </w:t>
      </w:r>
      <w:r w:rsidR="00CB7E43">
        <w:rPr>
          <w:rFonts w:cstheme="minorHAnsi"/>
        </w:rPr>
        <w:t xml:space="preserve">¶ </w:t>
      </w:r>
      <w:r>
        <w:t>46</w:t>
      </w:r>
    </w:p>
  </w:footnote>
  <w:footnote w:id="13">
    <w:p w:rsidR="00317EB0" w:rsidRDefault="00317EB0">
      <w:pPr>
        <w:pStyle w:val="FootnoteText"/>
      </w:pPr>
      <w:r>
        <w:rPr>
          <w:rStyle w:val="FootnoteReference"/>
        </w:rPr>
        <w:footnoteRef/>
      </w:r>
      <w:r>
        <w:t xml:space="preserve"> See 18-177 </w:t>
      </w:r>
      <w:r w:rsidR="00CB7E43">
        <w:rPr>
          <w:rFonts w:cstheme="minorHAnsi"/>
        </w:rPr>
        <w:t xml:space="preserve">¶ </w:t>
      </w:r>
      <w:r>
        <w:t>49</w:t>
      </w:r>
    </w:p>
  </w:footnote>
  <w:footnote w:id="14">
    <w:p w:rsidR="00F15E73" w:rsidRDefault="00F15E73" w:rsidP="00F15E73">
      <w:pPr>
        <w:pStyle w:val="FootnoteText"/>
      </w:pPr>
      <w:r>
        <w:rPr>
          <w:rStyle w:val="FootnoteReference"/>
        </w:rPr>
        <w:footnoteRef/>
      </w:r>
      <w:r>
        <w:t xml:space="preserve"> </w:t>
      </w:r>
      <w:r w:rsidRPr="00F15E73">
        <w:t>See also FCC 18-177 ¶26 and footnote 69</w:t>
      </w:r>
    </w:p>
  </w:footnote>
  <w:footnote w:id="15">
    <w:p w:rsidR="00833882" w:rsidRDefault="00833882">
      <w:pPr>
        <w:pStyle w:val="FootnoteText"/>
      </w:pPr>
      <w:r>
        <w:rPr>
          <w:rStyle w:val="FootnoteReference"/>
        </w:rPr>
        <w:footnoteRef/>
      </w:r>
      <w:r>
        <w:t xml:space="preserve"> </w:t>
      </w:r>
      <w:r>
        <w:rPr>
          <w:rFonts w:cstheme="minorHAnsi"/>
          <w:color w:val="0F243E" w:themeColor="text2" w:themeShade="80"/>
        </w:rPr>
        <w:t>See P</w:t>
      </w:r>
      <w:r w:rsidR="00BD336F">
        <w:rPr>
          <w:rFonts w:cstheme="minorHAnsi"/>
          <w:color w:val="0F243E" w:themeColor="text2" w:themeShade="80"/>
        </w:rPr>
        <w:t xml:space="preserve">rofessional Association for Customer Engagement (PACE) Notice of </w:t>
      </w:r>
      <w:r w:rsidRPr="00833882">
        <w:rPr>
          <w:rFonts w:cstheme="minorHAnsi"/>
          <w:bCs/>
          <w:i/>
          <w:iCs/>
          <w:color w:val="0F243E" w:themeColor="text2" w:themeShade="80"/>
        </w:rPr>
        <w:t xml:space="preserve">Ex-Parte </w:t>
      </w:r>
      <w:r w:rsidRPr="00833882">
        <w:rPr>
          <w:rFonts w:cstheme="minorHAnsi"/>
          <w:bCs/>
          <w:color w:val="0F243E" w:themeColor="text2" w:themeShade="80"/>
        </w:rPr>
        <w:t>Communication, CG Docket Nos. 02-278, 18-152 &amp; 17-59</w:t>
      </w:r>
      <w:r w:rsidRPr="00833882">
        <w:rPr>
          <w:rFonts w:cstheme="minorHAnsi"/>
          <w:color w:val="0F243E" w:themeColor="text2" w:themeShade="80"/>
        </w:rPr>
        <w:t xml:space="preserve"> dated December 10, 2018</w:t>
      </w:r>
      <w:r>
        <w:rPr>
          <w:rFonts w:cstheme="minorHAnsi"/>
          <w:color w:val="0F243E" w:themeColor="text2" w:themeShade="80"/>
        </w:rPr>
        <w:t xml:space="preserve"> available at </w:t>
      </w:r>
      <w:hyperlink r:id="rId5" w:history="1">
        <w:r w:rsidR="00BD336F" w:rsidRPr="003D2E5A">
          <w:rPr>
            <w:rStyle w:val="Hyperlink"/>
            <w:rFonts w:cstheme="minorHAnsi"/>
          </w:rPr>
          <w:t>https://ecfsapi.fcc.gov/file/1210179430942/PACE%20Ex%20Parte%20Notice%20(12-10-2018).pdf</w:t>
        </w:r>
      </w:hyperlink>
      <w:r w:rsidR="00BD336F">
        <w:rPr>
          <w:rFonts w:cstheme="minorHAnsi"/>
          <w:color w:val="0F243E" w:themeColor="text2" w:themeShade="8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BB6F24"/>
    <w:multiLevelType w:val="hybridMultilevel"/>
    <w:tmpl w:val="0994DC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66D2675"/>
    <w:multiLevelType w:val="hybridMultilevel"/>
    <w:tmpl w:val="55FE65A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79751EC"/>
    <w:multiLevelType w:val="hybridMultilevel"/>
    <w:tmpl w:val="A4A25AB2"/>
    <w:lvl w:ilvl="0" w:tplc="723E425E">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76834FBC"/>
    <w:multiLevelType w:val="hybridMultilevel"/>
    <w:tmpl w:val="47EEF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488"/>
    <w:rsid w:val="00000A67"/>
    <w:rsid w:val="000206D9"/>
    <w:rsid w:val="00023FDE"/>
    <w:rsid w:val="00024A91"/>
    <w:rsid w:val="0005259F"/>
    <w:rsid w:val="0005722C"/>
    <w:rsid w:val="00062488"/>
    <w:rsid w:val="00063DFF"/>
    <w:rsid w:val="000713C2"/>
    <w:rsid w:val="00080387"/>
    <w:rsid w:val="000860C0"/>
    <w:rsid w:val="00097070"/>
    <w:rsid w:val="000A1216"/>
    <w:rsid w:val="000A1BBA"/>
    <w:rsid w:val="000A2696"/>
    <w:rsid w:val="000B008A"/>
    <w:rsid w:val="000B41C3"/>
    <w:rsid w:val="000C1F03"/>
    <w:rsid w:val="000D0790"/>
    <w:rsid w:val="000D41AE"/>
    <w:rsid w:val="000D6FB4"/>
    <w:rsid w:val="000E1CEC"/>
    <w:rsid w:val="000E4F5A"/>
    <w:rsid w:val="00101950"/>
    <w:rsid w:val="00115CFE"/>
    <w:rsid w:val="00120D7A"/>
    <w:rsid w:val="00125A9D"/>
    <w:rsid w:val="00144B48"/>
    <w:rsid w:val="00150E09"/>
    <w:rsid w:val="0015227A"/>
    <w:rsid w:val="00160CBD"/>
    <w:rsid w:val="00181211"/>
    <w:rsid w:val="00182832"/>
    <w:rsid w:val="00183029"/>
    <w:rsid w:val="00191D7F"/>
    <w:rsid w:val="001933B3"/>
    <w:rsid w:val="0019505E"/>
    <w:rsid w:val="001A6764"/>
    <w:rsid w:val="001B68E3"/>
    <w:rsid w:val="001D32BC"/>
    <w:rsid w:val="001F582A"/>
    <w:rsid w:val="001F664D"/>
    <w:rsid w:val="00205D1A"/>
    <w:rsid w:val="0021292F"/>
    <w:rsid w:val="00214E64"/>
    <w:rsid w:val="002228A2"/>
    <w:rsid w:val="0023365F"/>
    <w:rsid w:val="00236A55"/>
    <w:rsid w:val="00237E50"/>
    <w:rsid w:val="00247433"/>
    <w:rsid w:val="0026249E"/>
    <w:rsid w:val="002624DC"/>
    <w:rsid w:val="0028779E"/>
    <w:rsid w:val="00290571"/>
    <w:rsid w:val="002943CB"/>
    <w:rsid w:val="002B6D20"/>
    <w:rsid w:val="002B71B5"/>
    <w:rsid w:val="002C4048"/>
    <w:rsid w:val="002F4255"/>
    <w:rsid w:val="00303F90"/>
    <w:rsid w:val="00317EB0"/>
    <w:rsid w:val="00327DB3"/>
    <w:rsid w:val="00341FBE"/>
    <w:rsid w:val="00345849"/>
    <w:rsid w:val="003460C3"/>
    <w:rsid w:val="0036204A"/>
    <w:rsid w:val="00362AFA"/>
    <w:rsid w:val="0036606D"/>
    <w:rsid w:val="00381716"/>
    <w:rsid w:val="00381B48"/>
    <w:rsid w:val="00381B86"/>
    <w:rsid w:val="003A290B"/>
    <w:rsid w:val="003A4E78"/>
    <w:rsid w:val="003A5B18"/>
    <w:rsid w:val="003C20A8"/>
    <w:rsid w:val="003D323D"/>
    <w:rsid w:val="003E067E"/>
    <w:rsid w:val="003E1618"/>
    <w:rsid w:val="003E2211"/>
    <w:rsid w:val="003F4AF9"/>
    <w:rsid w:val="003F7EEB"/>
    <w:rsid w:val="00400D37"/>
    <w:rsid w:val="00420678"/>
    <w:rsid w:val="00423DAA"/>
    <w:rsid w:val="00437D78"/>
    <w:rsid w:val="004412AB"/>
    <w:rsid w:val="00452F38"/>
    <w:rsid w:val="00471237"/>
    <w:rsid w:val="00472A20"/>
    <w:rsid w:val="00486986"/>
    <w:rsid w:val="00492D1B"/>
    <w:rsid w:val="004A19E8"/>
    <w:rsid w:val="004B5FEC"/>
    <w:rsid w:val="004D7CAC"/>
    <w:rsid w:val="004E2FE0"/>
    <w:rsid w:val="004E775B"/>
    <w:rsid w:val="0050461E"/>
    <w:rsid w:val="00505561"/>
    <w:rsid w:val="005118EE"/>
    <w:rsid w:val="005215FA"/>
    <w:rsid w:val="00534AEA"/>
    <w:rsid w:val="00536B3B"/>
    <w:rsid w:val="00541F92"/>
    <w:rsid w:val="00547B2E"/>
    <w:rsid w:val="0055677C"/>
    <w:rsid w:val="00564708"/>
    <w:rsid w:val="005712E1"/>
    <w:rsid w:val="00584F91"/>
    <w:rsid w:val="00587F13"/>
    <w:rsid w:val="00595CEB"/>
    <w:rsid w:val="005A51AA"/>
    <w:rsid w:val="005B3ED5"/>
    <w:rsid w:val="005D251D"/>
    <w:rsid w:val="005D34FE"/>
    <w:rsid w:val="005D5D47"/>
    <w:rsid w:val="00606241"/>
    <w:rsid w:val="00622CE2"/>
    <w:rsid w:val="00624EDE"/>
    <w:rsid w:val="00626B6E"/>
    <w:rsid w:val="006272AC"/>
    <w:rsid w:val="00635AF6"/>
    <w:rsid w:val="00640AD2"/>
    <w:rsid w:val="0065129F"/>
    <w:rsid w:val="0065754A"/>
    <w:rsid w:val="00657D09"/>
    <w:rsid w:val="006647F2"/>
    <w:rsid w:val="00671791"/>
    <w:rsid w:val="00677F44"/>
    <w:rsid w:val="00683CF1"/>
    <w:rsid w:val="006845E3"/>
    <w:rsid w:val="006932E4"/>
    <w:rsid w:val="00695002"/>
    <w:rsid w:val="00697D08"/>
    <w:rsid w:val="006B6A49"/>
    <w:rsid w:val="006D5E5E"/>
    <w:rsid w:val="007001CC"/>
    <w:rsid w:val="00715413"/>
    <w:rsid w:val="00722920"/>
    <w:rsid w:val="0073390A"/>
    <w:rsid w:val="00765C0D"/>
    <w:rsid w:val="0077560C"/>
    <w:rsid w:val="007826E1"/>
    <w:rsid w:val="00782AE9"/>
    <w:rsid w:val="007A4A67"/>
    <w:rsid w:val="007D2DDC"/>
    <w:rsid w:val="007D6243"/>
    <w:rsid w:val="00810C41"/>
    <w:rsid w:val="00830ADA"/>
    <w:rsid w:val="00833882"/>
    <w:rsid w:val="00835A15"/>
    <w:rsid w:val="008479FB"/>
    <w:rsid w:val="00847D31"/>
    <w:rsid w:val="00870A7A"/>
    <w:rsid w:val="008813B7"/>
    <w:rsid w:val="00893D68"/>
    <w:rsid w:val="008A12FC"/>
    <w:rsid w:val="008A464F"/>
    <w:rsid w:val="008A498C"/>
    <w:rsid w:val="008A56F7"/>
    <w:rsid w:val="008B3D50"/>
    <w:rsid w:val="008C2C10"/>
    <w:rsid w:val="008D38A2"/>
    <w:rsid w:val="008D405C"/>
    <w:rsid w:val="008D440E"/>
    <w:rsid w:val="008D4647"/>
    <w:rsid w:val="008E57F9"/>
    <w:rsid w:val="008E6C5B"/>
    <w:rsid w:val="009000FE"/>
    <w:rsid w:val="009057D4"/>
    <w:rsid w:val="00917710"/>
    <w:rsid w:val="00920695"/>
    <w:rsid w:val="00931883"/>
    <w:rsid w:val="0093494C"/>
    <w:rsid w:val="0093574D"/>
    <w:rsid w:val="0095034C"/>
    <w:rsid w:val="00950BAF"/>
    <w:rsid w:val="0095448A"/>
    <w:rsid w:val="00962077"/>
    <w:rsid w:val="00967499"/>
    <w:rsid w:val="00976202"/>
    <w:rsid w:val="009774D6"/>
    <w:rsid w:val="009A3AD5"/>
    <w:rsid w:val="009A4394"/>
    <w:rsid w:val="009A5963"/>
    <w:rsid w:val="009A60E1"/>
    <w:rsid w:val="009A7143"/>
    <w:rsid w:val="009B3034"/>
    <w:rsid w:val="009B4AD3"/>
    <w:rsid w:val="009D09EC"/>
    <w:rsid w:val="009D42A3"/>
    <w:rsid w:val="009D55AB"/>
    <w:rsid w:val="009E3D30"/>
    <w:rsid w:val="00A01A83"/>
    <w:rsid w:val="00A12305"/>
    <w:rsid w:val="00A12DFB"/>
    <w:rsid w:val="00A137DB"/>
    <w:rsid w:val="00A16C2F"/>
    <w:rsid w:val="00A20BED"/>
    <w:rsid w:val="00A22AFD"/>
    <w:rsid w:val="00A25AB1"/>
    <w:rsid w:val="00A37991"/>
    <w:rsid w:val="00A44C0C"/>
    <w:rsid w:val="00A61503"/>
    <w:rsid w:val="00A64858"/>
    <w:rsid w:val="00A67DE5"/>
    <w:rsid w:val="00A7279F"/>
    <w:rsid w:val="00A7386B"/>
    <w:rsid w:val="00A81BDC"/>
    <w:rsid w:val="00AA732D"/>
    <w:rsid w:val="00AB2CF8"/>
    <w:rsid w:val="00AD1135"/>
    <w:rsid w:val="00AE726B"/>
    <w:rsid w:val="00AF0553"/>
    <w:rsid w:val="00B0603A"/>
    <w:rsid w:val="00B164A6"/>
    <w:rsid w:val="00B36B30"/>
    <w:rsid w:val="00B53FDD"/>
    <w:rsid w:val="00B564AC"/>
    <w:rsid w:val="00B757FD"/>
    <w:rsid w:val="00B95472"/>
    <w:rsid w:val="00BA25C5"/>
    <w:rsid w:val="00BB597B"/>
    <w:rsid w:val="00BB7986"/>
    <w:rsid w:val="00BD336F"/>
    <w:rsid w:val="00BE42D5"/>
    <w:rsid w:val="00BE7614"/>
    <w:rsid w:val="00BF4809"/>
    <w:rsid w:val="00C04E4F"/>
    <w:rsid w:val="00C14BDA"/>
    <w:rsid w:val="00C179AE"/>
    <w:rsid w:val="00C249FA"/>
    <w:rsid w:val="00C36D91"/>
    <w:rsid w:val="00C37C3A"/>
    <w:rsid w:val="00C44501"/>
    <w:rsid w:val="00C44C06"/>
    <w:rsid w:val="00C600C3"/>
    <w:rsid w:val="00C61FE0"/>
    <w:rsid w:val="00C64F37"/>
    <w:rsid w:val="00C7219E"/>
    <w:rsid w:val="00C80A52"/>
    <w:rsid w:val="00C87258"/>
    <w:rsid w:val="00C944C2"/>
    <w:rsid w:val="00C96EBB"/>
    <w:rsid w:val="00CA1463"/>
    <w:rsid w:val="00CB7E43"/>
    <w:rsid w:val="00CC292D"/>
    <w:rsid w:val="00CC346C"/>
    <w:rsid w:val="00CD0509"/>
    <w:rsid w:val="00CD383B"/>
    <w:rsid w:val="00CE31EB"/>
    <w:rsid w:val="00CF7732"/>
    <w:rsid w:val="00D30CAA"/>
    <w:rsid w:val="00D31A6A"/>
    <w:rsid w:val="00D51C9F"/>
    <w:rsid w:val="00D52B3D"/>
    <w:rsid w:val="00D60A6D"/>
    <w:rsid w:val="00D61EDC"/>
    <w:rsid w:val="00D72C68"/>
    <w:rsid w:val="00D82A4B"/>
    <w:rsid w:val="00D95E4E"/>
    <w:rsid w:val="00D9627F"/>
    <w:rsid w:val="00DC650C"/>
    <w:rsid w:val="00DD30FF"/>
    <w:rsid w:val="00DD66D8"/>
    <w:rsid w:val="00DE0B2C"/>
    <w:rsid w:val="00DF3CEF"/>
    <w:rsid w:val="00DF79DF"/>
    <w:rsid w:val="00E0222F"/>
    <w:rsid w:val="00E04436"/>
    <w:rsid w:val="00E044CA"/>
    <w:rsid w:val="00E2089E"/>
    <w:rsid w:val="00E25C6A"/>
    <w:rsid w:val="00E3563A"/>
    <w:rsid w:val="00E36348"/>
    <w:rsid w:val="00E435E5"/>
    <w:rsid w:val="00E448B3"/>
    <w:rsid w:val="00E63490"/>
    <w:rsid w:val="00E648CA"/>
    <w:rsid w:val="00E66FC8"/>
    <w:rsid w:val="00E76456"/>
    <w:rsid w:val="00E80A7D"/>
    <w:rsid w:val="00E810A8"/>
    <w:rsid w:val="00E81446"/>
    <w:rsid w:val="00E822EC"/>
    <w:rsid w:val="00E918A8"/>
    <w:rsid w:val="00EA33EF"/>
    <w:rsid w:val="00EB4B24"/>
    <w:rsid w:val="00ED1CD2"/>
    <w:rsid w:val="00ED7251"/>
    <w:rsid w:val="00ED7CFD"/>
    <w:rsid w:val="00F13BD0"/>
    <w:rsid w:val="00F15E73"/>
    <w:rsid w:val="00F20DEB"/>
    <w:rsid w:val="00F277F4"/>
    <w:rsid w:val="00F50FDE"/>
    <w:rsid w:val="00F66930"/>
    <w:rsid w:val="00F8465F"/>
    <w:rsid w:val="00F8587B"/>
    <w:rsid w:val="00F94F52"/>
    <w:rsid w:val="00FA35DF"/>
    <w:rsid w:val="00FB02DD"/>
    <w:rsid w:val="00FB085B"/>
    <w:rsid w:val="00FB0CCC"/>
    <w:rsid w:val="00FD18DA"/>
    <w:rsid w:val="00FE1B73"/>
    <w:rsid w:val="00FF1951"/>
    <w:rsid w:val="00FF5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4C4D6E-C155-495C-B1CF-3E2823773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B68E3"/>
  </w:style>
  <w:style w:type="paragraph" w:styleId="Heading1">
    <w:name w:val="heading 1"/>
    <w:basedOn w:val="Normal"/>
    <w:next w:val="Normal"/>
    <w:link w:val="Heading1Char"/>
    <w:uiPriority w:val="9"/>
    <w:qFormat/>
    <w:rsid w:val="009D55AB"/>
    <w:pPr>
      <w:keepNext/>
      <w:keepLines/>
      <w:spacing w:before="240" w:after="120" w:line="240" w:lineRule="auto"/>
      <w:outlineLvl w:val="0"/>
    </w:pPr>
    <w:rPr>
      <w:rFonts w:eastAsiaTheme="majorEastAsia" w:cstheme="minorHAnsi"/>
      <w:b/>
      <w:sz w:val="24"/>
      <w:szCs w:val="24"/>
    </w:rPr>
  </w:style>
  <w:style w:type="paragraph" w:styleId="Heading2">
    <w:name w:val="heading 2"/>
    <w:basedOn w:val="Normal"/>
    <w:next w:val="Normal"/>
    <w:link w:val="Heading2Char"/>
    <w:uiPriority w:val="9"/>
    <w:unhideWhenUsed/>
    <w:qFormat/>
    <w:rsid w:val="009D55AB"/>
    <w:pPr>
      <w:spacing w:before="120" w:after="120" w:line="240" w:lineRule="auto"/>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D42A3"/>
    <w:pPr>
      <w:spacing w:after="0" w:line="240" w:lineRule="auto"/>
    </w:pPr>
    <w:rPr>
      <w:sz w:val="20"/>
      <w:szCs w:val="20"/>
    </w:rPr>
  </w:style>
  <w:style w:type="character" w:customStyle="1" w:styleId="FootnoteTextChar">
    <w:name w:val="Footnote Text Char"/>
    <w:basedOn w:val="DefaultParagraphFont"/>
    <w:link w:val="FootnoteText"/>
    <w:uiPriority w:val="99"/>
    <w:rsid w:val="009D42A3"/>
    <w:rPr>
      <w:sz w:val="20"/>
      <w:szCs w:val="20"/>
    </w:rPr>
  </w:style>
  <w:style w:type="character" w:styleId="FootnoteReference">
    <w:name w:val="footnote reference"/>
    <w:basedOn w:val="DefaultParagraphFont"/>
    <w:uiPriority w:val="99"/>
    <w:semiHidden/>
    <w:unhideWhenUsed/>
    <w:rsid w:val="009D42A3"/>
    <w:rPr>
      <w:vertAlign w:val="superscript"/>
    </w:rPr>
  </w:style>
  <w:style w:type="character" w:styleId="CommentReference">
    <w:name w:val="annotation reference"/>
    <w:basedOn w:val="DefaultParagraphFont"/>
    <w:uiPriority w:val="99"/>
    <w:semiHidden/>
    <w:unhideWhenUsed/>
    <w:rsid w:val="0026249E"/>
    <w:rPr>
      <w:sz w:val="16"/>
      <w:szCs w:val="16"/>
    </w:rPr>
  </w:style>
  <w:style w:type="paragraph" w:styleId="CommentText">
    <w:name w:val="annotation text"/>
    <w:basedOn w:val="Normal"/>
    <w:link w:val="CommentTextChar"/>
    <w:uiPriority w:val="99"/>
    <w:semiHidden/>
    <w:unhideWhenUsed/>
    <w:rsid w:val="0026249E"/>
    <w:pPr>
      <w:spacing w:line="240" w:lineRule="auto"/>
    </w:pPr>
    <w:rPr>
      <w:sz w:val="20"/>
      <w:szCs w:val="20"/>
    </w:rPr>
  </w:style>
  <w:style w:type="character" w:customStyle="1" w:styleId="CommentTextChar">
    <w:name w:val="Comment Text Char"/>
    <w:basedOn w:val="DefaultParagraphFont"/>
    <w:link w:val="CommentText"/>
    <w:uiPriority w:val="99"/>
    <w:semiHidden/>
    <w:rsid w:val="0026249E"/>
    <w:rPr>
      <w:sz w:val="20"/>
      <w:szCs w:val="20"/>
    </w:rPr>
  </w:style>
  <w:style w:type="paragraph" w:styleId="CommentSubject">
    <w:name w:val="annotation subject"/>
    <w:basedOn w:val="CommentText"/>
    <w:next w:val="CommentText"/>
    <w:link w:val="CommentSubjectChar"/>
    <w:uiPriority w:val="99"/>
    <w:semiHidden/>
    <w:unhideWhenUsed/>
    <w:rsid w:val="0026249E"/>
    <w:rPr>
      <w:b/>
      <w:bCs/>
    </w:rPr>
  </w:style>
  <w:style w:type="character" w:customStyle="1" w:styleId="CommentSubjectChar">
    <w:name w:val="Comment Subject Char"/>
    <w:basedOn w:val="CommentTextChar"/>
    <w:link w:val="CommentSubject"/>
    <w:uiPriority w:val="99"/>
    <w:semiHidden/>
    <w:rsid w:val="0026249E"/>
    <w:rPr>
      <w:b/>
      <w:bCs/>
      <w:sz w:val="20"/>
      <w:szCs w:val="20"/>
    </w:rPr>
  </w:style>
  <w:style w:type="paragraph" w:styleId="BalloonText">
    <w:name w:val="Balloon Text"/>
    <w:basedOn w:val="Normal"/>
    <w:link w:val="BalloonTextChar"/>
    <w:uiPriority w:val="99"/>
    <w:semiHidden/>
    <w:unhideWhenUsed/>
    <w:rsid w:val="002624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49E"/>
    <w:rPr>
      <w:rFonts w:ascii="Segoe UI" w:hAnsi="Segoe UI" w:cs="Segoe UI"/>
      <w:sz w:val="18"/>
      <w:szCs w:val="18"/>
    </w:rPr>
  </w:style>
  <w:style w:type="character" w:styleId="Hyperlink">
    <w:name w:val="Hyperlink"/>
    <w:basedOn w:val="DefaultParagraphFont"/>
    <w:uiPriority w:val="99"/>
    <w:unhideWhenUsed/>
    <w:rsid w:val="005D34FE"/>
    <w:rPr>
      <w:color w:val="0000FF"/>
      <w:u w:val="single"/>
    </w:rPr>
  </w:style>
  <w:style w:type="paragraph" w:styleId="ListParagraph">
    <w:name w:val="List Paragraph"/>
    <w:basedOn w:val="Normal"/>
    <w:uiPriority w:val="34"/>
    <w:qFormat/>
    <w:rsid w:val="00950BAF"/>
    <w:pPr>
      <w:spacing w:after="160" w:line="256" w:lineRule="auto"/>
      <w:ind w:left="720"/>
      <w:contextualSpacing/>
    </w:pPr>
  </w:style>
  <w:style w:type="paragraph" w:styleId="NoSpacing">
    <w:name w:val="No Spacing"/>
    <w:uiPriority w:val="1"/>
    <w:qFormat/>
    <w:rsid w:val="00950BAF"/>
    <w:pPr>
      <w:spacing w:after="0" w:line="240" w:lineRule="auto"/>
    </w:pPr>
  </w:style>
  <w:style w:type="character" w:customStyle="1" w:styleId="Heading1Char">
    <w:name w:val="Heading 1 Char"/>
    <w:basedOn w:val="DefaultParagraphFont"/>
    <w:link w:val="Heading1"/>
    <w:uiPriority w:val="9"/>
    <w:rsid w:val="009D55AB"/>
    <w:rPr>
      <w:rFonts w:eastAsiaTheme="majorEastAsia" w:cstheme="minorHAnsi"/>
      <w:b/>
      <w:sz w:val="24"/>
      <w:szCs w:val="24"/>
    </w:rPr>
  </w:style>
  <w:style w:type="character" w:customStyle="1" w:styleId="Heading2Char">
    <w:name w:val="Heading 2 Char"/>
    <w:basedOn w:val="DefaultParagraphFont"/>
    <w:link w:val="Heading2"/>
    <w:uiPriority w:val="9"/>
    <w:rsid w:val="009D55AB"/>
    <w:rPr>
      <w:b/>
      <w:sz w:val="24"/>
      <w:szCs w:val="24"/>
    </w:rPr>
  </w:style>
  <w:style w:type="paragraph" w:styleId="Header">
    <w:name w:val="header"/>
    <w:basedOn w:val="Normal"/>
    <w:link w:val="HeaderChar"/>
    <w:uiPriority w:val="99"/>
    <w:unhideWhenUsed/>
    <w:rsid w:val="00547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B2E"/>
  </w:style>
  <w:style w:type="paragraph" w:styleId="Footer">
    <w:name w:val="footer"/>
    <w:basedOn w:val="Normal"/>
    <w:link w:val="FooterChar"/>
    <w:uiPriority w:val="99"/>
    <w:unhideWhenUsed/>
    <w:rsid w:val="00547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B2E"/>
  </w:style>
  <w:style w:type="table" w:styleId="TableGrid">
    <w:name w:val="Table Grid"/>
    <w:basedOn w:val="TableNormal"/>
    <w:uiPriority w:val="59"/>
    <w:rsid w:val="007A4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E6C5B"/>
  </w:style>
  <w:style w:type="paragraph" w:styleId="EndnoteText">
    <w:name w:val="endnote text"/>
    <w:basedOn w:val="Normal"/>
    <w:link w:val="EndnoteTextChar"/>
    <w:uiPriority w:val="99"/>
    <w:semiHidden/>
    <w:unhideWhenUsed/>
    <w:rsid w:val="00F15E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15E73"/>
    <w:rPr>
      <w:sz w:val="20"/>
      <w:szCs w:val="20"/>
    </w:rPr>
  </w:style>
  <w:style w:type="character" w:styleId="EndnoteReference">
    <w:name w:val="endnote reference"/>
    <w:basedOn w:val="DefaultParagraphFont"/>
    <w:uiPriority w:val="99"/>
    <w:semiHidden/>
    <w:unhideWhenUsed/>
    <w:rsid w:val="00F15E73"/>
    <w:rPr>
      <w:vertAlign w:val="superscript"/>
    </w:rPr>
  </w:style>
  <w:style w:type="paragraph" w:styleId="TOC1">
    <w:name w:val="toc 1"/>
    <w:basedOn w:val="Normal"/>
    <w:next w:val="Normal"/>
    <w:autoRedefine/>
    <w:uiPriority w:val="39"/>
    <w:unhideWhenUsed/>
    <w:rsid w:val="00BF4809"/>
    <w:pPr>
      <w:spacing w:after="100"/>
    </w:pPr>
  </w:style>
  <w:style w:type="paragraph" w:styleId="TOC2">
    <w:name w:val="toc 2"/>
    <w:basedOn w:val="Normal"/>
    <w:next w:val="Normal"/>
    <w:autoRedefine/>
    <w:uiPriority w:val="39"/>
    <w:unhideWhenUsed/>
    <w:rsid w:val="00BF4809"/>
    <w:pPr>
      <w:spacing w:after="100"/>
      <w:ind w:left="220"/>
    </w:pPr>
  </w:style>
  <w:style w:type="character" w:styleId="FollowedHyperlink">
    <w:name w:val="FollowedHyperlink"/>
    <w:basedOn w:val="DefaultParagraphFont"/>
    <w:uiPriority w:val="99"/>
    <w:semiHidden/>
    <w:unhideWhenUsed/>
    <w:rsid w:val="00B757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9710">
      <w:bodyDiv w:val="1"/>
      <w:marLeft w:val="0"/>
      <w:marRight w:val="0"/>
      <w:marTop w:val="0"/>
      <w:marBottom w:val="0"/>
      <w:divBdr>
        <w:top w:val="none" w:sz="0" w:space="0" w:color="auto"/>
        <w:left w:val="none" w:sz="0" w:space="0" w:color="auto"/>
        <w:bottom w:val="none" w:sz="0" w:space="0" w:color="auto"/>
        <w:right w:val="none" w:sz="0" w:space="0" w:color="auto"/>
      </w:divBdr>
    </w:div>
    <w:div w:id="1234046929">
      <w:bodyDiv w:val="1"/>
      <w:marLeft w:val="0"/>
      <w:marRight w:val="0"/>
      <w:marTop w:val="0"/>
      <w:marBottom w:val="0"/>
      <w:divBdr>
        <w:top w:val="none" w:sz="0" w:space="0" w:color="auto"/>
        <w:left w:val="none" w:sz="0" w:space="0" w:color="auto"/>
        <w:bottom w:val="none" w:sz="0" w:space="0" w:color="auto"/>
        <w:right w:val="none" w:sz="0" w:space="0" w:color="auto"/>
      </w:divBdr>
    </w:div>
    <w:div w:id="1305622302">
      <w:bodyDiv w:val="1"/>
      <w:marLeft w:val="0"/>
      <w:marRight w:val="0"/>
      <w:marTop w:val="0"/>
      <w:marBottom w:val="0"/>
      <w:divBdr>
        <w:top w:val="none" w:sz="0" w:space="0" w:color="auto"/>
        <w:left w:val="none" w:sz="0" w:space="0" w:color="auto"/>
        <w:bottom w:val="none" w:sz="0" w:space="0" w:color="auto"/>
        <w:right w:val="none" w:sz="0" w:space="0" w:color="auto"/>
      </w:divBdr>
    </w:div>
    <w:div w:id="143871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nanpfund.com/" TargetMode="External"/><Relationship Id="rId2" Type="http://schemas.openxmlformats.org/officeDocument/2006/relationships/hyperlink" Target="https://docs.fcc.gov/public/attachments/FCC-18-177A1.pdf" TargetMode="External"/><Relationship Id="rId1" Type="http://schemas.openxmlformats.org/officeDocument/2006/relationships/hyperlink" Target="https://docs.fcc.gov/public/attachments/DOC-355526A2.pdf" TargetMode="External"/><Relationship Id="rId5" Type="http://schemas.openxmlformats.org/officeDocument/2006/relationships/hyperlink" Target="https://ecfsapi.fcc.gov/file/1210179430942/PACE%20Ex%20Parte%20Notice%20(12-10-2018).pdf" TargetMode="External"/><Relationship Id="rId4" Type="http://schemas.openxmlformats.org/officeDocument/2006/relationships/hyperlink" Target="http://nanpfund.com/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F4AB6-A5BB-4389-8B34-BC4CC3825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3931</Words>
  <Characters>22407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Linse, Philip</dc:creator>
  <cp:keywords/>
  <dc:description/>
  <cp:lastModifiedBy>Marilyn Jones</cp:lastModifiedBy>
  <cp:revision>2</cp:revision>
  <dcterms:created xsi:type="dcterms:W3CDTF">2020-02-12T19:50:00Z</dcterms:created>
  <dcterms:modified xsi:type="dcterms:W3CDTF">2020-02-12T19:50:00Z</dcterms:modified>
</cp:coreProperties>
</file>