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DC6183">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7"/>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0413CA">
        <w:trPr>
          <w:trHeight w:val="1250"/>
        </w:trPr>
        <w:tc>
          <w:tcPr>
            <w:tcW w:w="4399" w:type="dxa"/>
            <w:shd w:val="clear" w:color="auto" w:fill="auto"/>
          </w:tcPr>
          <w:p w:rsidR="004B496F" w:rsidRPr="000C3E36" w:rsidRDefault="004B496F" w:rsidP="00F60D62">
            <w:pPr>
              <w:rPr>
                <w:rFonts w:ascii="Arial" w:hAnsi="Arial" w:cs="Arial"/>
                <w:sz w:val="20"/>
                <w:szCs w:val="20"/>
              </w:rPr>
            </w:pPr>
            <w:r w:rsidRPr="000C3E36">
              <w:rPr>
                <w:rFonts w:ascii="Arial" w:hAnsi="Arial" w:cs="Arial"/>
                <w:sz w:val="20"/>
                <w:szCs w:val="20"/>
              </w:rPr>
              <w:t>CenturyLink – Jan Doell</w:t>
            </w:r>
          </w:p>
          <w:p w:rsidR="00EF198F" w:rsidRPr="000C3E36" w:rsidRDefault="00F60D62" w:rsidP="00F60D62">
            <w:pPr>
              <w:rPr>
                <w:rFonts w:ascii="Arial" w:hAnsi="Arial" w:cs="Arial"/>
                <w:sz w:val="20"/>
                <w:szCs w:val="20"/>
              </w:rPr>
            </w:pPr>
            <w:r w:rsidRPr="000C3E36">
              <w:rPr>
                <w:rFonts w:ascii="Arial" w:hAnsi="Arial" w:cs="Arial"/>
                <w:sz w:val="20"/>
                <w:szCs w:val="20"/>
              </w:rPr>
              <w:t>Cox Communication - Beth O’Donnell</w:t>
            </w:r>
          </w:p>
          <w:p w:rsidR="00B27F8F" w:rsidRPr="000C3E36" w:rsidRDefault="00B27F8F" w:rsidP="00B27F8F">
            <w:pPr>
              <w:rPr>
                <w:rStyle w:val="Strong"/>
                <w:rFonts w:ascii="Arial" w:hAnsi="Arial" w:cs="Arial"/>
                <w:b w:val="0"/>
                <w:bCs w:val="0"/>
                <w:sz w:val="20"/>
                <w:szCs w:val="20"/>
              </w:rPr>
            </w:pPr>
            <w:r w:rsidRPr="000C3E36">
              <w:rPr>
                <w:rStyle w:val="Strong"/>
                <w:rFonts w:ascii="Arial" w:hAnsi="Arial" w:cs="Arial"/>
                <w:b w:val="0"/>
                <w:bCs w:val="0"/>
                <w:sz w:val="20"/>
                <w:szCs w:val="20"/>
              </w:rPr>
              <w:t>PA PUC  -  Chris Hepburn</w:t>
            </w:r>
          </w:p>
          <w:p w:rsidR="00B60E81" w:rsidRPr="000C3E36" w:rsidRDefault="00B60E81" w:rsidP="00B27F8F">
            <w:pPr>
              <w:rPr>
                <w:rStyle w:val="Strong"/>
                <w:rFonts w:ascii="Arial" w:hAnsi="Arial" w:cs="Arial"/>
                <w:b w:val="0"/>
                <w:bCs w:val="0"/>
                <w:sz w:val="20"/>
                <w:szCs w:val="20"/>
              </w:rPr>
            </w:pPr>
            <w:r w:rsidRPr="000C3E36">
              <w:rPr>
                <w:rStyle w:val="Strong"/>
                <w:rFonts w:ascii="Arial" w:hAnsi="Arial" w:cs="Arial"/>
                <w:b w:val="0"/>
                <w:bCs w:val="0"/>
                <w:sz w:val="20"/>
                <w:szCs w:val="20"/>
              </w:rPr>
              <w:t>Sprint – Shaunna Forshee</w:t>
            </w:r>
          </w:p>
          <w:p w:rsidR="00F60D62" w:rsidRPr="000C3E36" w:rsidRDefault="00F60D62" w:rsidP="00F60D62">
            <w:pPr>
              <w:rPr>
                <w:rStyle w:val="Strong"/>
                <w:rFonts w:ascii="Arial" w:hAnsi="Arial" w:cs="Arial"/>
                <w:b w:val="0"/>
                <w:bCs w:val="0"/>
                <w:sz w:val="20"/>
                <w:szCs w:val="20"/>
              </w:rPr>
            </w:pPr>
            <w:r w:rsidRPr="000C3E36">
              <w:rPr>
                <w:rStyle w:val="Strong"/>
                <w:rFonts w:ascii="Arial" w:hAnsi="Arial" w:cs="Arial"/>
                <w:b w:val="0"/>
                <w:bCs w:val="0"/>
                <w:sz w:val="20"/>
                <w:szCs w:val="20"/>
              </w:rPr>
              <w:t xml:space="preserve">Sprint – </w:t>
            </w:r>
            <w:r w:rsidR="003B3F1A" w:rsidRPr="000C3E36">
              <w:rPr>
                <w:rStyle w:val="Strong"/>
                <w:rFonts w:ascii="Arial" w:hAnsi="Arial" w:cs="Arial"/>
                <w:b w:val="0"/>
                <w:bCs w:val="0"/>
                <w:sz w:val="20"/>
                <w:szCs w:val="20"/>
              </w:rPr>
              <w:t>Karen Riepenkroger</w:t>
            </w:r>
          </w:p>
          <w:p w:rsidR="00802ABA" w:rsidRPr="000C3E36" w:rsidRDefault="00802ABA" w:rsidP="00F60D62">
            <w:pPr>
              <w:rPr>
                <w:rStyle w:val="Strong"/>
                <w:rFonts w:ascii="Arial" w:hAnsi="Arial" w:cs="Arial"/>
                <w:b w:val="0"/>
                <w:bCs w:val="0"/>
                <w:sz w:val="20"/>
                <w:szCs w:val="20"/>
              </w:rPr>
            </w:pPr>
            <w:r w:rsidRPr="000C3E36">
              <w:rPr>
                <w:rStyle w:val="Strong"/>
                <w:rFonts w:ascii="Arial" w:hAnsi="Arial" w:cs="Arial"/>
                <w:b w:val="0"/>
                <w:bCs w:val="0"/>
                <w:sz w:val="20"/>
                <w:szCs w:val="20"/>
              </w:rPr>
              <w:t>Verizon Wireless – Dana Crandall</w:t>
            </w:r>
          </w:p>
          <w:p w:rsidR="00F60D62" w:rsidRPr="000C3E36" w:rsidRDefault="00F60D62" w:rsidP="00557C4E">
            <w:pPr>
              <w:rPr>
                <w:rStyle w:val="Strong"/>
                <w:rFonts w:ascii="Arial" w:hAnsi="Arial" w:cs="Arial"/>
                <w:b w:val="0"/>
                <w:bCs w:val="0"/>
                <w:sz w:val="20"/>
                <w:szCs w:val="20"/>
              </w:rPr>
            </w:pPr>
          </w:p>
          <w:p w:rsidR="00BD5DA3" w:rsidRPr="000C3E36" w:rsidRDefault="00BD5DA3" w:rsidP="004F0CFE">
            <w:pPr>
              <w:rPr>
                <w:rStyle w:val="Strong"/>
                <w:rFonts w:ascii="Arial" w:hAnsi="Arial" w:cs="Arial"/>
                <w:b w:val="0"/>
                <w:bCs w:val="0"/>
                <w:color w:val="BFBFBF"/>
                <w:sz w:val="20"/>
                <w:szCs w:val="20"/>
              </w:rPr>
            </w:pPr>
          </w:p>
        </w:tc>
        <w:tc>
          <w:tcPr>
            <w:tcW w:w="4397" w:type="dxa"/>
            <w:shd w:val="clear" w:color="auto" w:fill="auto"/>
          </w:tcPr>
          <w:p w:rsidR="00F60D62" w:rsidRPr="000C3E36" w:rsidRDefault="00F60D62" w:rsidP="00F60D62">
            <w:pPr>
              <w:ind w:left="60"/>
              <w:rPr>
                <w:rFonts w:ascii="Arial" w:hAnsi="Arial" w:cs="Arial"/>
                <w:sz w:val="20"/>
                <w:szCs w:val="20"/>
              </w:rPr>
            </w:pPr>
            <w:r w:rsidRPr="000C3E36">
              <w:rPr>
                <w:rFonts w:ascii="Arial" w:hAnsi="Arial" w:cs="Arial"/>
                <w:sz w:val="20"/>
                <w:szCs w:val="20"/>
              </w:rPr>
              <w:t>Bruce Armstrong</w:t>
            </w:r>
          </w:p>
          <w:p w:rsidR="004B496F" w:rsidRPr="000C3E36" w:rsidRDefault="004B496F" w:rsidP="00F60D62">
            <w:pPr>
              <w:ind w:left="60"/>
              <w:rPr>
                <w:rFonts w:ascii="Arial" w:hAnsi="Arial" w:cs="Arial"/>
                <w:sz w:val="20"/>
                <w:szCs w:val="20"/>
              </w:rPr>
            </w:pPr>
            <w:r w:rsidRPr="000C3E36">
              <w:rPr>
                <w:rFonts w:ascii="Arial" w:hAnsi="Arial" w:cs="Arial"/>
                <w:sz w:val="20"/>
                <w:szCs w:val="20"/>
              </w:rPr>
              <w:t>Jesse Armstrong</w:t>
            </w:r>
          </w:p>
          <w:p w:rsidR="00B60E81" w:rsidRPr="000C3E36" w:rsidRDefault="00B60E81" w:rsidP="00F60D62">
            <w:pPr>
              <w:ind w:left="60"/>
              <w:rPr>
                <w:rFonts w:ascii="Arial" w:hAnsi="Arial" w:cs="Arial"/>
                <w:sz w:val="20"/>
                <w:szCs w:val="20"/>
              </w:rPr>
            </w:pPr>
            <w:r w:rsidRPr="000C3E36">
              <w:rPr>
                <w:rFonts w:ascii="Arial" w:hAnsi="Arial" w:cs="Arial"/>
                <w:sz w:val="20"/>
                <w:szCs w:val="20"/>
              </w:rPr>
              <w:t>Dara Flowers</w:t>
            </w:r>
          </w:p>
          <w:p w:rsidR="00F60D62" w:rsidRPr="000C3E36" w:rsidRDefault="00F60D62" w:rsidP="00F60D62">
            <w:pPr>
              <w:ind w:left="60"/>
              <w:rPr>
                <w:rFonts w:ascii="Arial" w:hAnsi="Arial" w:cs="Arial"/>
                <w:sz w:val="20"/>
                <w:szCs w:val="20"/>
              </w:rPr>
            </w:pPr>
            <w:r w:rsidRPr="000C3E36">
              <w:rPr>
                <w:rFonts w:ascii="Arial" w:hAnsi="Arial" w:cs="Arial"/>
                <w:sz w:val="20"/>
                <w:szCs w:val="20"/>
              </w:rPr>
              <w:t>Linda Hymans</w:t>
            </w:r>
          </w:p>
          <w:p w:rsidR="00112053" w:rsidRPr="000C3E36" w:rsidRDefault="00112053" w:rsidP="00F60D62">
            <w:pPr>
              <w:ind w:left="60"/>
              <w:rPr>
                <w:rFonts w:ascii="Arial" w:hAnsi="Arial" w:cs="Arial"/>
                <w:sz w:val="20"/>
                <w:szCs w:val="20"/>
              </w:rPr>
            </w:pPr>
            <w:r w:rsidRPr="000C3E36">
              <w:rPr>
                <w:rFonts w:ascii="Arial" w:hAnsi="Arial" w:cs="Arial"/>
                <w:sz w:val="20"/>
                <w:szCs w:val="20"/>
              </w:rPr>
              <w:t>Cecilia McCabe</w:t>
            </w:r>
          </w:p>
          <w:p w:rsidR="00F60D62" w:rsidRPr="000C3E36" w:rsidRDefault="00F60D62" w:rsidP="00F60D62">
            <w:pPr>
              <w:ind w:left="60"/>
              <w:rPr>
                <w:rFonts w:ascii="Arial" w:hAnsi="Arial" w:cs="Arial"/>
                <w:sz w:val="20"/>
                <w:szCs w:val="20"/>
              </w:rPr>
            </w:pPr>
            <w:r w:rsidRPr="000C3E36">
              <w:rPr>
                <w:rFonts w:ascii="Arial" w:hAnsi="Arial" w:cs="Arial"/>
                <w:sz w:val="20"/>
                <w:szCs w:val="20"/>
              </w:rPr>
              <w:t>Amy Putnam</w:t>
            </w:r>
          </w:p>
          <w:p w:rsidR="00F60D62" w:rsidRPr="000C3E36" w:rsidRDefault="00F60D62" w:rsidP="00F60D62">
            <w:pPr>
              <w:ind w:left="60"/>
              <w:rPr>
                <w:rFonts w:ascii="Arial" w:hAnsi="Arial" w:cs="Arial"/>
                <w:sz w:val="20"/>
                <w:szCs w:val="20"/>
              </w:rPr>
            </w:pPr>
            <w:r w:rsidRPr="000C3E36">
              <w:rPr>
                <w:rFonts w:ascii="Arial" w:hAnsi="Arial" w:cs="Arial"/>
                <w:sz w:val="20"/>
                <w:szCs w:val="20"/>
              </w:rPr>
              <w:t>Shannon Sevigny</w:t>
            </w:r>
          </w:p>
          <w:p w:rsidR="00E53CC9" w:rsidRPr="000C3E36" w:rsidRDefault="00E53CC9" w:rsidP="00F60D62">
            <w:pPr>
              <w:ind w:left="60"/>
              <w:rPr>
                <w:rFonts w:ascii="Arial" w:hAnsi="Arial" w:cs="Arial"/>
                <w:sz w:val="20"/>
                <w:szCs w:val="20"/>
              </w:rPr>
            </w:pPr>
          </w:p>
          <w:p w:rsidR="00636120" w:rsidRPr="000C3E36" w:rsidRDefault="00636120" w:rsidP="00A04D15">
            <w:pPr>
              <w:ind w:left="60"/>
              <w:rPr>
                <w:rStyle w:val="Strong"/>
                <w:rFonts w:ascii="Arial" w:hAnsi="Arial" w:cs="Arial"/>
                <w:b w:val="0"/>
                <w:sz w:val="20"/>
                <w:szCs w:val="20"/>
              </w:rPr>
            </w:pPr>
          </w:p>
          <w:p w:rsidR="00BD5DA3" w:rsidRPr="000C3E36" w:rsidRDefault="00BD5DA3" w:rsidP="00A04D15">
            <w:pPr>
              <w:ind w:left="60"/>
              <w:rPr>
                <w:rStyle w:val="Strong"/>
                <w:rFonts w:ascii="Arial" w:hAnsi="Arial" w:cs="Arial"/>
                <w:b w:val="0"/>
                <w:sz w:val="20"/>
                <w:szCs w:val="20"/>
              </w:rPr>
            </w:pPr>
          </w:p>
          <w:p w:rsidR="00A84687" w:rsidRPr="000C3E36"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3C2D64">
        <w:rPr>
          <w:rFonts w:ascii="Arial" w:hAnsi="Arial" w:cs="Arial"/>
          <w:b/>
          <w:sz w:val="20"/>
          <w:szCs w:val="20"/>
        </w:rPr>
        <w:t>June</w:t>
      </w:r>
      <w:r w:rsidR="00192F77">
        <w:rPr>
          <w:rFonts w:ascii="Arial" w:hAnsi="Arial" w:cs="Arial"/>
          <w:b/>
          <w:sz w:val="20"/>
          <w:szCs w:val="20"/>
        </w:rPr>
        <w:t>, 2015</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3C2D64" w:rsidP="005A49E1">
            <w:pPr>
              <w:rPr>
                <w:rFonts w:ascii="Arial" w:hAnsi="Arial" w:cs="Arial"/>
                <w:sz w:val="20"/>
                <w:szCs w:val="20"/>
              </w:rPr>
            </w:pPr>
            <w:r>
              <w:rPr>
                <w:rFonts w:ascii="Arial" w:hAnsi="Arial" w:cs="Arial"/>
                <w:sz w:val="20"/>
                <w:szCs w:val="20"/>
              </w:rPr>
              <w:t>1851</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3C2D64" w:rsidP="006753C2">
            <w:pPr>
              <w:rPr>
                <w:rFonts w:ascii="Arial" w:hAnsi="Arial" w:cs="Arial"/>
                <w:sz w:val="20"/>
                <w:szCs w:val="20"/>
              </w:rPr>
            </w:pPr>
            <w:r>
              <w:rPr>
                <w:rFonts w:ascii="Arial" w:hAnsi="Arial" w:cs="Arial"/>
                <w:sz w:val="20"/>
                <w:szCs w:val="20"/>
              </w:rPr>
              <w:t>1361</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2856E9" w:rsidP="003C2D64">
            <w:pPr>
              <w:rPr>
                <w:rFonts w:ascii="Arial" w:hAnsi="Arial" w:cs="Arial"/>
                <w:sz w:val="20"/>
                <w:szCs w:val="20"/>
              </w:rPr>
            </w:pPr>
            <w:r>
              <w:rPr>
                <w:rFonts w:ascii="Arial" w:hAnsi="Arial" w:cs="Arial"/>
                <w:sz w:val="20"/>
                <w:szCs w:val="20"/>
              </w:rPr>
              <w:t>2</w:t>
            </w:r>
            <w:r w:rsidR="003C2D64">
              <w:rPr>
                <w:rFonts w:ascii="Arial" w:hAnsi="Arial" w:cs="Arial"/>
                <w:sz w:val="20"/>
                <w:szCs w:val="20"/>
              </w:rPr>
              <w:t>73</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3C2D64" w:rsidP="00F60D62">
            <w:pPr>
              <w:rPr>
                <w:rFonts w:ascii="Arial" w:hAnsi="Arial" w:cs="Arial"/>
                <w:sz w:val="20"/>
                <w:szCs w:val="20"/>
              </w:rPr>
            </w:pPr>
            <w:r>
              <w:rPr>
                <w:rFonts w:ascii="Arial" w:hAnsi="Arial" w:cs="Arial"/>
                <w:sz w:val="20"/>
                <w:szCs w:val="20"/>
              </w:rPr>
              <w:t>647</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3C2D64" w:rsidP="00322D4A">
            <w:pPr>
              <w:rPr>
                <w:rFonts w:ascii="Arial" w:hAnsi="Arial" w:cs="Arial"/>
                <w:sz w:val="20"/>
                <w:szCs w:val="20"/>
              </w:rPr>
            </w:pPr>
            <w:r>
              <w:rPr>
                <w:rFonts w:ascii="Arial" w:hAnsi="Arial" w:cs="Arial"/>
                <w:sz w:val="20"/>
                <w:szCs w:val="20"/>
              </w:rPr>
              <w:t>24,285</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3C2D64" w:rsidP="00E71FAE">
            <w:pPr>
              <w:rPr>
                <w:rFonts w:ascii="Arial" w:hAnsi="Arial" w:cs="Arial"/>
                <w:sz w:val="20"/>
                <w:szCs w:val="20"/>
              </w:rPr>
            </w:pPr>
            <w:r>
              <w:rPr>
                <w:rFonts w:ascii="Arial" w:hAnsi="Arial" w:cs="Arial"/>
                <w:sz w:val="20"/>
                <w:szCs w:val="20"/>
              </w:rPr>
              <w:t>752</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E71FAE"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436110" w:rsidP="008675C1">
            <w:pPr>
              <w:pStyle w:val="NormalWeb"/>
              <w:rPr>
                <w:rFonts w:ascii="Arial" w:hAnsi="Arial" w:cs="Arial"/>
                <w:sz w:val="20"/>
                <w:szCs w:val="20"/>
              </w:rPr>
            </w:pPr>
            <w:r>
              <w:rPr>
                <w:rFonts w:ascii="Arial" w:hAnsi="Arial" w:cs="Arial"/>
                <w:sz w:val="20"/>
                <w:szCs w:val="20"/>
              </w:rPr>
              <w:t xml:space="preserve"> </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5502C3" w:rsidP="00225869">
            <w:pPr>
              <w:rPr>
                <w:rFonts w:ascii="Arial" w:hAnsi="Arial" w:cs="Arial"/>
                <w:sz w:val="20"/>
                <w:szCs w:val="20"/>
              </w:rPr>
            </w:pPr>
            <w:r w:rsidRPr="006C17F0">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3C2D64" w:rsidP="00225869">
            <w:pPr>
              <w:rPr>
                <w:rFonts w:ascii="Arial" w:hAnsi="Arial" w:cs="Arial"/>
                <w:sz w:val="20"/>
                <w:szCs w:val="20"/>
              </w:rPr>
            </w:pPr>
            <w:r>
              <w:rPr>
                <w:rFonts w:ascii="Arial" w:hAnsi="Arial" w:cs="Arial"/>
                <w:sz w:val="20"/>
                <w:szCs w:val="20"/>
              </w:rPr>
              <w:t>99/279</w:t>
            </w:r>
          </w:p>
        </w:tc>
      </w:tr>
    </w:tbl>
    <w:p w:rsidR="004C256C" w:rsidRDefault="004C256C" w:rsidP="00BE00B0">
      <w:pPr>
        <w:rPr>
          <w:rFonts w:ascii="Arial" w:hAnsi="Arial" w:cs="Arial"/>
          <w:b/>
          <w:sz w:val="20"/>
          <w:szCs w:val="20"/>
        </w:rPr>
      </w:pPr>
    </w:p>
    <w:p w:rsidR="000C3E36" w:rsidRPr="000C3E36" w:rsidRDefault="000C3E36" w:rsidP="00BE00B0">
      <w:pPr>
        <w:rPr>
          <w:rFonts w:ascii="Arial" w:hAnsi="Arial" w:cs="Arial"/>
          <w:sz w:val="20"/>
          <w:szCs w:val="20"/>
        </w:rPr>
      </w:pPr>
      <w:r>
        <w:rPr>
          <w:rFonts w:ascii="Arial" w:hAnsi="Arial" w:cs="Arial"/>
          <w:sz w:val="20"/>
          <w:szCs w:val="20"/>
        </w:rPr>
        <w:t>The PA noted that the number of applications processed in June (24,285) was the second highest month for applications processed.</w:t>
      </w:r>
    </w:p>
    <w:p w:rsidR="000C3E36" w:rsidRDefault="000C3E36" w:rsidP="00BE00B0">
      <w:pPr>
        <w:rPr>
          <w:rFonts w:ascii="Arial" w:hAnsi="Arial" w:cs="Arial"/>
          <w:b/>
          <w:sz w:val="20"/>
          <w:szCs w:val="20"/>
        </w:rPr>
      </w:pPr>
    </w:p>
    <w:bookmarkStart w:id="3" w:name="_MON_1498634403"/>
    <w:bookmarkEnd w:id="3"/>
    <w:p w:rsidR="00D22809" w:rsidRPr="006C17F0" w:rsidRDefault="003C2D64" w:rsidP="004C256C">
      <w:pPr>
        <w:ind w:left="-180"/>
        <w:rPr>
          <w:rFonts w:ascii="Arial" w:hAnsi="Arial" w:cs="Arial"/>
          <w:b/>
          <w:sz w:val="20"/>
          <w:szCs w:val="20"/>
        </w:rPr>
      </w:pPr>
      <w:r>
        <w:rPr>
          <w:rFonts w:ascii="Arial" w:hAnsi="Arial" w:cs="Arial"/>
          <w:b/>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8" o:title=""/>
          </v:shape>
          <o:OLEObject Type="Embed" ProgID="Word.Document.12" ShapeID="_x0000_i1025" DrawAspect="Icon" ObjectID="_1504508754" r:id="rId9">
            <o:FieldCodes>\s</o:FieldCodes>
          </o:OLEObject>
        </w:object>
      </w:r>
      <w:r w:rsidR="00812810"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3C2D64" w:rsidRPr="006C17F0" w:rsidTr="007217C7">
        <w:tc>
          <w:tcPr>
            <w:tcW w:w="4404" w:type="dxa"/>
          </w:tcPr>
          <w:p w:rsidR="003C2D64" w:rsidRPr="006C17F0" w:rsidRDefault="003C2D64" w:rsidP="003C2D64">
            <w:pPr>
              <w:rPr>
                <w:rFonts w:ascii="Arial" w:hAnsi="Arial" w:cs="Arial"/>
                <w:sz w:val="20"/>
                <w:szCs w:val="20"/>
              </w:rPr>
            </w:pPr>
            <w:r>
              <w:rPr>
                <w:rFonts w:ascii="Arial" w:hAnsi="Arial" w:cs="Arial"/>
                <w:sz w:val="20"/>
                <w:szCs w:val="20"/>
              </w:rPr>
              <w:t>July 2014</w:t>
            </w:r>
          </w:p>
        </w:tc>
        <w:tc>
          <w:tcPr>
            <w:tcW w:w="4226" w:type="dxa"/>
          </w:tcPr>
          <w:p w:rsidR="003C2D64" w:rsidRDefault="003C2D64" w:rsidP="003C2D64">
            <w:pPr>
              <w:rPr>
                <w:rFonts w:ascii="Arial" w:hAnsi="Arial" w:cs="Arial"/>
                <w:sz w:val="20"/>
                <w:szCs w:val="20"/>
              </w:rPr>
            </w:pPr>
            <w:r>
              <w:rPr>
                <w:rFonts w:ascii="Arial" w:hAnsi="Arial" w:cs="Arial"/>
                <w:sz w:val="20"/>
                <w:szCs w:val="20"/>
              </w:rPr>
              <w:t>10,493</w:t>
            </w:r>
          </w:p>
        </w:tc>
      </w:tr>
      <w:tr w:rsidR="003C2D64" w:rsidRPr="006C17F0" w:rsidTr="007217C7">
        <w:tc>
          <w:tcPr>
            <w:tcW w:w="4404" w:type="dxa"/>
          </w:tcPr>
          <w:p w:rsidR="003C2D64" w:rsidRPr="006C17F0" w:rsidRDefault="003C2D64" w:rsidP="003C2D64">
            <w:pPr>
              <w:rPr>
                <w:rFonts w:ascii="Arial" w:hAnsi="Arial" w:cs="Arial"/>
                <w:sz w:val="20"/>
                <w:szCs w:val="20"/>
              </w:rPr>
            </w:pPr>
            <w:r>
              <w:rPr>
                <w:rFonts w:ascii="Arial" w:hAnsi="Arial" w:cs="Arial"/>
                <w:sz w:val="20"/>
                <w:szCs w:val="20"/>
              </w:rPr>
              <w:t>August 2014</w:t>
            </w:r>
          </w:p>
        </w:tc>
        <w:tc>
          <w:tcPr>
            <w:tcW w:w="4226" w:type="dxa"/>
          </w:tcPr>
          <w:p w:rsidR="003C2D64" w:rsidRDefault="003C2D64" w:rsidP="003C2D64">
            <w:pPr>
              <w:rPr>
                <w:rFonts w:ascii="Arial" w:hAnsi="Arial" w:cs="Arial"/>
                <w:sz w:val="20"/>
                <w:szCs w:val="20"/>
              </w:rPr>
            </w:pPr>
            <w:r>
              <w:rPr>
                <w:rFonts w:ascii="Arial" w:hAnsi="Arial" w:cs="Arial"/>
                <w:sz w:val="20"/>
                <w:szCs w:val="20"/>
              </w:rPr>
              <w:t>15,232</w:t>
            </w:r>
          </w:p>
        </w:tc>
      </w:tr>
      <w:tr w:rsidR="003C2D64" w:rsidRPr="006C17F0" w:rsidTr="007217C7">
        <w:tc>
          <w:tcPr>
            <w:tcW w:w="4404" w:type="dxa"/>
          </w:tcPr>
          <w:p w:rsidR="003C2D64" w:rsidRPr="006C17F0" w:rsidRDefault="003C2D64" w:rsidP="003C2D64">
            <w:pPr>
              <w:rPr>
                <w:rFonts w:ascii="Arial" w:hAnsi="Arial" w:cs="Arial"/>
                <w:sz w:val="20"/>
                <w:szCs w:val="20"/>
              </w:rPr>
            </w:pPr>
            <w:r>
              <w:rPr>
                <w:rFonts w:ascii="Arial" w:hAnsi="Arial" w:cs="Arial"/>
                <w:sz w:val="20"/>
                <w:szCs w:val="20"/>
              </w:rPr>
              <w:t>September 2014</w:t>
            </w:r>
          </w:p>
        </w:tc>
        <w:tc>
          <w:tcPr>
            <w:tcW w:w="4226" w:type="dxa"/>
          </w:tcPr>
          <w:p w:rsidR="003C2D64" w:rsidRDefault="003C2D64" w:rsidP="003C2D64">
            <w:pPr>
              <w:rPr>
                <w:rFonts w:ascii="Arial" w:hAnsi="Arial" w:cs="Arial"/>
                <w:sz w:val="20"/>
                <w:szCs w:val="20"/>
              </w:rPr>
            </w:pPr>
            <w:r>
              <w:rPr>
                <w:rFonts w:ascii="Arial" w:hAnsi="Arial" w:cs="Arial"/>
                <w:sz w:val="20"/>
                <w:szCs w:val="20"/>
              </w:rPr>
              <w:t>12,113</w:t>
            </w:r>
          </w:p>
        </w:tc>
      </w:tr>
      <w:tr w:rsidR="003C2D64" w:rsidRPr="006C17F0" w:rsidTr="007217C7">
        <w:tc>
          <w:tcPr>
            <w:tcW w:w="4404" w:type="dxa"/>
          </w:tcPr>
          <w:p w:rsidR="003C2D64" w:rsidRPr="006C17F0" w:rsidRDefault="003C2D64" w:rsidP="003C2D64">
            <w:pPr>
              <w:rPr>
                <w:rFonts w:ascii="Arial" w:hAnsi="Arial" w:cs="Arial"/>
                <w:sz w:val="20"/>
                <w:szCs w:val="20"/>
              </w:rPr>
            </w:pPr>
            <w:r>
              <w:rPr>
                <w:rFonts w:ascii="Arial" w:hAnsi="Arial" w:cs="Arial"/>
                <w:sz w:val="20"/>
                <w:szCs w:val="20"/>
              </w:rPr>
              <w:t>October 2014</w:t>
            </w:r>
          </w:p>
        </w:tc>
        <w:tc>
          <w:tcPr>
            <w:tcW w:w="4226" w:type="dxa"/>
          </w:tcPr>
          <w:p w:rsidR="003C2D64" w:rsidRDefault="003C2D64" w:rsidP="003C2D64">
            <w:pPr>
              <w:rPr>
                <w:rFonts w:ascii="Arial" w:hAnsi="Arial" w:cs="Arial"/>
                <w:sz w:val="20"/>
                <w:szCs w:val="20"/>
              </w:rPr>
            </w:pPr>
            <w:r>
              <w:rPr>
                <w:rFonts w:ascii="Arial" w:hAnsi="Arial" w:cs="Arial"/>
                <w:sz w:val="20"/>
                <w:szCs w:val="20"/>
              </w:rPr>
              <w:t>15,849</w:t>
            </w:r>
          </w:p>
        </w:tc>
      </w:tr>
      <w:tr w:rsidR="003C2D64" w:rsidRPr="006C17F0" w:rsidTr="007217C7">
        <w:trPr>
          <w:trHeight w:val="47"/>
        </w:trPr>
        <w:tc>
          <w:tcPr>
            <w:tcW w:w="4404" w:type="dxa"/>
          </w:tcPr>
          <w:p w:rsidR="003C2D64" w:rsidRPr="006C17F0" w:rsidRDefault="003C2D64" w:rsidP="003C2D64">
            <w:pPr>
              <w:rPr>
                <w:rFonts w:ascii="Arial" w:hAnsi="Arial" w:cs="Arial"/>
                <w:sz w:val="20"/>
                <w:szCs w:val="20"/>
              </w:rPr>
            </w:pPr>
            <w:r>
              <w:rPr>
                <w:rFonts w:ascii="Arial" w:hAnsi="Arial" w:cs="Arial"/>
                <w:sz w:val="20"/>
                <w:szCs w:val="20"/>
              </w:rPr>
              <w:t>November 2014</w:t>
            </w:r>
          </w:p>
        </w:tc>
        <w:tc>
          <w:tcPr>
            <w:tcW w:w="4226" w:type="dxa"/>
          </w:tcPr>
          <w:p w:rsidR="003C2D64" w:rsidRDefault="003C2D64" w:rsidP="003C2D64">
            <w:pPr>
              <w:rPr>
                <w:rFonts w:ascii="Arial" w:hAnsi="Arial" w:cs="Arial"/>
                <w:sz w:val="20"/>
                <w:szCs w:val="20"/>
              </w:rPr>
            </w:pPr>
            <w:r>
              <w:rPr>
                <w:rFonts w:ascii="Arial" w:hAnsi="Arial" w:cs="Arial"/>
                <w:sz w:val="20"/>
                <w:szCs w:val="20"/>
              </w:rPr>
              <w:t>13,954</w:t>
            </w:r>
          </w:p>
        </w:tc>
      </w:tr>
      <w:tr w:rsidR="003C2D64" w:rsidRPr="006C17F0" w:rsidTr="007217C7">
        <w:trPr>
          <w:trHeight w:val="143"/>
        </w:trPr>
        <w:tc>
          <w:tcPr>
            <w:tcW w:w="4404" w:type="dxa"/>
          </w:tcPr>
          <w:p w:rsidR="003C2D64" w:rsidRPr="006C17F0" w:rsidRDefault="003C2D64" w:rsidP="003C2D64">
            <w:pPr>
              <w:rPr>
                <w:rFonts w:ascii="Arial" w:hAnsi="Arial" w:cs="Arial"/>
                <w:sz w:val="20"/>
                <w:szCs w:val="20"/>
              </w:rPr>
            </w:pPr>
            <w:r>
              <w:rPr>
                <w:rFonts w:ascii="Arial" w:hAnsi="Arial" w:cs="Arial"/>
                <w:sz w:val="20"/>
                <w:szCs w:val="20"/>
              </w:rPr>
              <w:t>December 2014</w:t>
            </w:r>
          </w:p>
        </w:tc>
        <w:tc>
          <w:tcPr>
            <w:tcW w:w="4226" w:type="dxa"/>
          </w:tcPr>
          <w:p w:rsidR="003C2D64" w:rsidRDefault="003C2D64" w:rsidP="003C2D64">
            <w:pPr>
              <w:rPr>
                <w:rFonts w:ascii="Arial" w:hAnsi="Arial" w:cs="Arial"/>
                <w:sz w:val="20"/>
                <w:szCs w:val="20"/>
              </w:rPr>
            </w:pPr>
            <w:r>
              <w:rPr>
                <w:rFonts w:ascii="Arial" w:hAnsi="Arial" w:cs="Arial"/>
                <w:sz w:val="20"/>
                <w:szCs w:val="20"/>
              </w:rPr>
              <w:t>10,601</w:t>
            </w:r>
          </w:p>
        </w:tc>
      </w:tr>
      <w:tr w:rsidR="003C2D64" w:rsidRPr="006C17F0" w:rsidTr="007217C7">
        <w:trPr>
          <w:trHeight w:val="143"/>
        </w:trPr>
        <w:tc>
          <w:tcPr>
            <w:tcW w:w="4404" w:type="dxa"/>
          </w:tcPr>
          <w:p w:rsidR="003C2D64" w:rsidRPr="006C17F0" w:rsidRDefault="003C2D64" w:rsidP="003C2D64">
            <w:pPr>
              <w:rPr>
                <w:rFonts w:ascii="Arial" w:hAnsi="Arial" w:cs="Arial"/>
                <w:sz w:val="20"/>
                <w:szCs w:val="20"/>
              </w:rPr>
            </w:pPr>
            <w:r>
              <w:rPr>
                <w:rFonts w:ascii="Arial" w:hAnsi="Arial" w:cs="Arial"/>
                <w:sz w:val="20"/>
                <w:szCs w:val="20"/>
              </w:rPr>
              <w:t>January 2015</w:t>
            </w:r>
          </w:p>
        </w:tc>
        <w:tc>
          <w:tcPr>
            <w:tcW w:w="4226" w:type="dxa"/>
          </w:tcPr>
          <w:p w:rsidR="003C2D64" w:rsidRDefault="003C2D64" w:rsidP="003C2D64">
            <w:pPr>
              <w:rPr>
                <w:rFonts w:ascii="Arial" w:hAnsi="Arial" w:cs="Arial"/>
                <w:sz w:val="20"/>
                <w:szCs w:val="20"/>
              </w:rPr>
            </w:pPr>
            <w:r>
              <w:rPr>
                <w:rFonts w:ascii="Arial" w:hAnsi="Arial" w:cs="Arial"/>
                <w:sz w:val="20"/>
                <w:szCs w:val="20"/>
              </w:rPr>
              <w:t>7,518</w:t>
            </w:r>
          </w:p>
        </w:tc>
      </w:tr>
      <w:tr w:rsidR="003C2D64" w:rsidRPr="006C17F0" w:rsidTr="007217C7">
        <w:trPr>
          <w:trHeight w:val="143"/>
        </w:trPr>
        <w:tc>
          <w:tcPr>
            <w:tcW w:w="4404" w:type="dxa"/>
          </w:tcPr>
          <w:p w:rsidR="003C2D64" w:rsidRPr="006C17F0" w:rsidRDefault="003C2D64" w:rsidP="003C2D64">
            <w:pPr>
              <w:rPr>
                <w:rFonts w:ascii="Arial" w:hAnsi="Arial" w:cs="Arial"/>
                <w:sz w:val="20"/>
                <w:szCs w:val="20"/>
              </w:rPr>
            </w:pPr>
            <w:r>
              <w:rPr>
                <w:rFonts w:ascii="Arial" w:hAnsi="Arial" w:cs="Arial"/>
                <w:sz w:val="20"/>
                <w:szCs w:val="20"/>
              </w:rPr>
              <w:t>February 2015</w:t>
            </w:r>
          </w:p>
        </w:tc>
        <w:tc>
          <w:tcPr>
            <w:tcW w:w="4226" w:type="dxa"/>
          </w:tcPr>
          <w:p w:rsidR="003C2D64" w:rsidRDefault="003C2D64" w:rsidP="003C2D64">
            <w:pPr>
              <w:rPr>
                <w:rFonts w:ascii="Arial" w:hAnsi="Arial" w:cs="Arial"/>
                <w:sz w:val="20"/>
                <w:szCs w:val="20"/>
              </w:rPr>
            </w:pPr>
            <w:r>
              <w:rPr>
                <w:rFonts w:ascii="Arial" w:hAnsi="Arial" w:cs="Arial"/>
                <w:sz w:val="20"/>
                <w:szCs w:val="20"/>
              </w:rPr>
              <w:t>15,628</w:t>
            </w:r>
          </w:p>
        </w:tc>
      </w:tr>
      <w:tr w:rsidR="003C2D64" w:rsidRPr="006C17F0" w:rsidTr="007217C7">
        <w:trPr>
          <w:trHeight w:val="143"/>
        </w:trPr>
        <w:tc>
          <w:tcPr>
            <w:tcW w:w="4404" w:type="dxa"/>
          </w:tcPr>
          <w:p w:rsidR="003C2D64" w:rsidRPr="006C17F0" w:rsidRDefault="003C2D64" w:rsidP="003C2D64">
            <w:pPr>
              <w:rPr>
                <w:rFonts w:ascii="Arial" w:hAnsi="Arial" w:cs="Arial"/>
                <w:sz w:val="20"/>
                <w:szCs w:val="20"/>
              </w:rPr>
            </w:pPr>
            <w:r>
              <w:rPr>
                <w:rFonts w:ascii="Arial" w:hAnsi="Arial" w:cs="Arial"/>
                <w:sz w:val="20"/>
                <w:szCs w:val="20"/>
              </w:rPr>
              <w:t>March 2015</w:t>
            </w:r>
          </w:p>
        </w:tc>
        <w:tc>
          <w:tcPr>
            <w:tcW w:w="4226" w:type="dxa"/>
          </w:tcPr>
          <w:p w:rsidR="003C2D64" w:rsidRDefault="003C2D64" w:rsidP="003C2D64">
            <w:pPr>
              <w:rPr>
                <w:rFonts w:ascii="Arial" w:hAnsi="Arial" w:cs="Arial"/>
                <w:sz w:val="20"/>
                <w:szCs w:val="20"/>
              </w:rPr>
            </w:pPr>
            <w:r>
              <w:rPr>
                <w:rFonts w:ascii="Arial" w:hAnsi="Arial" w:cs="Arial"/>
                <w:sz w:val="20"/>
                <w:szCs w:val="20"/>
              </w:rPr>
              <w:t>10,763</w:t>
            </w:r>
          </w:p>
        </w:tc>
      </w:tr>
      <w:tr w:rsidR="003C2D64" w:rsidRPr="006C17F0" w:rsidTr="007217C7">
        <w:trPr>
          <w:trHeight w:val="143"/>
        </w:trPr>
        <w:tc>
          <w:tcPr>
            <w:tcW w:w="4404" w:type="dxa"/>
          </w:tcPr>
          <w:p w:rsidR="003C2D64" w:rsidRPr="006C17F0" w:rsidRDefault="003C2D64" w:rsidP="003C2D64">
            <w:pPr>
              <w:rPr>
                <w:rFonts w:ascii="Arial" w:hAnsi="Arial" w:cs="Arial"/>
                <w:sz w:val="20"/>
                <w:szCs w:val="20"/>
              </w:rPr>
            </w:pPr>
            <w:r>
              <w:rPr>
                <w:rFonts w:ascii="Arial" w:hAnsi="Arial" w:cs="Arial"/>
                <w:sz w:val="20"/>
                <w:szCs w:val="20"/>
              </w:rPr>
              <w:t>April 2015</w:t>
            </w:r>
          </w:p>
        </w:tc>
        <w:tc>
          <w:tcPr>
            <w:tcW w:w="4226" w:type="dxa"/>
          </w:tcPr>
          <w:p w:rsidR="003C2D64" w:rsidRDefault="003C2D64" w:rsidP="003C2D64">
            <w:pPr>
              <w:rPr>
                <w:rFonts w:ascii="Arial" w:hAnsi="Arial" w:cs="Arial"/>
                <w:sz w:val="20"/>
                <w:szCs w:val="20"/>
              </w:rPr>
            </w:pPr>
            <w:r>
              <w:rPr>
                <w:rFonts w:ascii="Arial" w:hAnsi="Arial" w:cs="Arial"/>
                <w:sz w:val="20"/>
                <w:szCs w:val="20"/>
              </w:rPr>
              <w:t>13,295</w:t>
            </w:r>
          </w:p>
        </w:tc>
      </w:tr>
      <w:tr w:rsidR="003C2D64" w:rsidRPr="006C17F0" w:rsidTr="007217C7">
        <w:tc>
          <w:tcPr>
            <w:tcW w:w="4404" w:type="dxa"/>
          </w:tcPr>
          <w:p w:rsidR="003C2D64" w:rsidRPr="006C17F0" w:rsidRDefault="003C2D64" w:rsidP="003C2D64">
            <w:pPr>
              <w:rPr>
                <w:rFonts w:ascii="Arial" w:hAnsi="Arial" w:cs="Arial"/>
                <w:sz w:val="20"/>
                <w:szCs w:val="20"/>
              </w:rPr>
            </w:pPr>
            <w:r>
              <w:rPr>
                <w:rFonts w:ascii="Arial" w:hAnsi="Arial" w:cs="Arial"/>
                <w:sz w:val="20"/>
                <w:szCs w:val="20"/>
              </w:rPr>
              <w:t>May 2015</w:t>
            </w:r>
          </w:p>
        </w:tc>
        <w:tc>
          <w:tcPr>
            <w:tcW w:w="4226" w:type="dxa"/>
          </w:tcPr>
          <w:p w:rsidR="003C2D64" w:rsidRDefault="003C2D64" w:rsidP="003C2D64">
            <w:pPr>
              <w:rPr>
                <w:rFonts w:ascii="Arial" w:hAnsi="Arial" w:cs="Arial"/>
                <w:sz w:val="20"/>
                <w:szCs w:val="20"/>
              </w:rPr>
            </w:pPr>
            <w:r>
              <w:rPr>
                <w:rFonts w:ascii="Arial" w:hAnsi="Arial" w:cs="Arial"/>
                <w:sz w:val="20"/>
                <w:szCs w:val="20"/>
              </w:rPr>
              <w:t>17,565</w:t>
            </w:r>
          </w:p>
        </w:tc>
      </w:tr>
      <w:tr w:rsidR="008021F1" w:rsidRPr="006C17F0" w:rsidTr="007217C7">
        <w:tc>
          <w:tcPr>
            <w:tcW w:w="4404" w:type="dxa"/>
          </w:tcPr>
          <w:p w:rsidR="008021F1" w:rsidRPr="006C17F0" w:rsidRDefault="003C2D64" w:rsidP="008021F1">
            <w:pPr>
              <w:rPr>
                <w:rFonts w:ascii="Arial" w:hAnsi="Arial" w:cs="Arial"/>
                <w:sz w:val="20"/>
                <w:szCs w:val="20"/>
              </w:rPr>
            </w:pPr>
            <w:r>
              <w:rPr>
                <w:rFonts w:ascii="Arial" w:hAnsi="Arial" w:cs="Arial"/>
                <w:sz w:val="20"/>
                <w:szCs w:val="20"/>
              </w:rPr>
              <w:t>June 20</w:t>
            </w:r>
            <w:r w:rsidR="00187E02">
              <w:rPr>
                <w:rFonts w:ascii="Arial" w:hAnsi="Arial" w:cs="Arial"/>
                <w:sz w:val="20"/>
                <w:szCs w:val="20"/>
              </w:rPr>
              <w:t>1</w:t>
            </w:r>
            <w:r>
              <w:rPr>
                <w:rFonts w:ascii="Arial" w:hAnsi="Arial" w:cs="Arial"/>
                <w:sz w:val="20"/>
                <w:szCs w:val="20"/>
              </w:rPr>
              <w:t>5</w:t>
            </w:r>
          </w:p>
        </w:tc>
        <w:tc>
          <w:tcPr>
            <w:tcW w:w="4226" w:type="dxa"/>
          </w:tcPr>
          <w:p w:rsidR="008021F1" w:rsidRDefault="003C2D64" w:rsidP="008021F1">
            <w:pPr>
              <w:rPr>
                <w:rFonts w:ascii="Arial" w:hAnsi="Arial" w:cs="Arial"/>
                <w:sz w:val="20"/>
                <w:szCs w:val="20"/>
              </w:rPr>
            </w:pPr>
            <w:r>
              <w:rPr>
                <w:rFonts w:ascii="Arial" w:hAnsi="Arial" w:cs="Arial"/>
                <w:sz w:val="20"/>
                <w:szCs w:val="20"/>
              </w:rPr>
              <w:t>24,285</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5" w:name="_Toc314561453"/>
      <w:r w:rsidRPr="006C17F0">
        <w:rPr>
          <w:rFonts w:ascii="Arial" w:hAnsi="Arial" w:cs="Arial"/>
          <w:sz w:val="20"/>
          <w:szCs w:val="20"/>
          <w:u w:val="single"/>
        </w:rPr>
        <w:t>FCC and/or NANC News</w:t>
      </w:r>
      <w:bookmarkEnd w:id="5"/>
    </w:p>
    <w:p w:rsidR="006819CB" w:rsidRPr="00321DB9" w:rsidRDefault="005B4998" w:rsidP="002B3C68">
      <w:pPr>
        <w:pStyle w:val="ListParagraph"/>
        <w:numPr>
          <w:ilvl w:val="0"/>
          <w:numId w:val="5"/>
        </w:numPr>
        <w:ind w:left="360"/>
        <w:rPr>
          <w:rFonts w:ascii="Arial" w:hAnsi="Arial" w:cs="Arial"/>
          <w:sz w:val="20"/>
          <w:szCs w:val="20"/>
        </w:rPr>
      </w:pPr>
      <w:bookmarkStart w:id="6" w:name="OLE_LINK5"/>
      <w:bookmarkStart w:id="7" w:name="OLE_LINK6"/>
      <w:r>
        <w:rPr>
          <w:rFonts w:ascii="Arial" w:hAnsi="Arial" w:cs="Arial"/>
          <w:sz w:val="20"/>
          <w:szCs w:val="20"/>
        </w:rPr>
        <w:t xml:space="preserve">There was a </w:t>
      </w:r>
      <w:r w:rsidR="004B496F">
        <w:rPr>
          <w:rFonts w:ascii="Arial" w:hAnsi="Arial" w:cs="Arial"/>
          <w:sz w:val="20"/>
          <w:szCs w:val="20"/>
        </w:rPr>
        <w:t xml:space="preserve">NANC meeting on June 4.  </w:t>
      </w:r>
    </w:p>
    <w:p w:rsidR="00A23D4F" w:rsidRDefault="00A23D4F" w:rsidP="003C310A">
      <w:pPr>
        <w:rPr>
          <w:rFonts w:ascii="Arial" w:hAnsi="Arial" w:cs="Arial"/>
          <w:sz w:val="20"/>
          <w:szCs w:val="20"/>
        </w:rPr>
      </w:pPr>
    </w:p>
    <w:p w:rsidR="003C310A" w:rsidRDefault="003C310A" w:rsidP="003C310A">
      <w:pPr>
        <w:pStyle w:val="Heading1"/>
        <w:spacing w:before="0" w:after="0"/>
        <w:rPr>
          <w:rFonts w:ascii="Arial" w:hAnsi="Arial" w:cs="Arial"/>
          <w:sz w:val="20"/>
          <w:szCs w:val="20"/>
          <w:u w:val="single"/>
          <w:lang w:val="en-US"/>
        </w:rPr>
      </w:pPr>
      <w:r w:rsidRPr="006C17F0">
        <w:rPr>
          <w:rFonts w:ascii="Arial" w:hAnsi="Arial" w:cs="Arial"/>
          <w:sz w:val="20"/>
          <w:szCs w:val="20"/>
          <w:u w:val="single"/>
        </w:rPr>
        <w:t xml:space="preserve">INC read out (initial </w:t>
      </w:r>
      <w:r w:rsidR="00273279">
        <w:rPr>
          <w:rFonts w:ascii="Arial" w:hAnsi="Arial" w:cs="Arial"/>
          <w:sz w:val="20"/>
          <w:szCs w:val="20"/>
          <w:u w:val="single"/>
          <w:lang w:val="en-US"/>
        </w:rPr>
        <w:t xml:space="preserve">and final </w:t>
      </w:r>
      <w:r w:rsidRPr="006C17F0">
        <w:rPr>
          <w:rFonts w:ascii="Arial" w:hAnsi="Arial" w:cs="Arial"/>
          <w:sz w:val="20"/>
          <w:szCs w:val="20"/>
          <w:u w:val="single"/>
        </w:rPr>
        <w:t>closure and new issues)</w:t>
      </w:r>
    </w:p>
    <w:p w:rsidR="00273279" w:rsidRDefault="00D3583A" w:rsidP="00AE074B">
      <w:pPr>
        <w:pStyle w:val="ListParagraph"/>
        <w:numPr>
          <w:ilvl w:val="0"/>
          <w:numId w:val="3"/>
        </w:numPr>
        <w:spacing w:before="120" w:after="120"/>
      </w:pPr>
      <w:bookmarkStart w:id="8" w:name="_Toc314561455"/>
      <w:bookmarkEnd w:id="6"/>
      <w:bookmarkEnd w:id="7"/>
      <w:r>
        <w:t xml:space="preserve">Following issues went to </w:t>
      </w:r>
      <w:r w:rsidR="00321DB9">
        <w:t>Final</w:t>
      </w:r>
      <w:r>
        <w:t xml:space="preserve"> Closure on </w:t>
      </w:r>
      <w:r w:rsidR="00321DB9">
        <w:t>6/15</w:t>
      </w:r>
      <w:r>
        <w:t>/15</w:t>
      </w:r>
      <w:r w:rsidR="00273279" w:rsidRPr="00EC4252">
        <w:t>:</w:t>
      </w:r>
    </w:p>
    <w:p w:rsidR="002856E9" w:rsidRPr="0089513C" w:rsidRDefault="002856E9" w:rsidP="002856E9">
      <w:pPr>
        <w:pStyle w:val="NormalWeb"/>
        <w:numPr>
          <w:ilvl w:val="1"/>
          <w:numId w:val="3"/>
        </w:numPr>
      </w:pPr>
      <w:r>
        <w:t>I</w:t>
      </w:r>
      <w:r w:rsidR="0089513C" w:rsidRPr="0089513C">
        <w:t xml:space="preserve">ssue </w:t>
      </w:r>
      <w:r>
        <w:t>793, Update the CLLI</w:t>
      </w:r>
      <w:r w:rsidR="006819CB" w:rsidRPr="006819CB">
        <w:rPr>
          <w:vertAlign w:val="superscript"/>
        </w:rPr>
        <w:t>TM</w:t>
      </w:r>
      <w:r>
        <w:t xml:space="preserve"> Definition in all INC Guidelines with a Glossary referencing CLLI</w:t>
      </w:r>
      <w:r w:rsidR="006819CB" w:rsidRPr="006819CB">
        <w:rPr>
          <w:vertAlign w:val="superscript"/>
        </w:rPr>
        <w:t>TM</w:t>
      </w:r>
    </w:p>
    <w:p w:rsidR="0089513C" w:rsidRPr="0089513C" w:rsidRDefault="002856E9" w:rsidP="0089513C">
      <w:pPr>
        <w:pStyle w:val="NormalWeb"/>
        <w:numPr>
          <w:ilvl w:val="1"/>
          <w:numId w:val="3"/>
        </w:numPr>
      </w:pPr>
      <w:r>
        <w:t>Issue 796, Allow code transfer when there are no assigned numbers in order to prevent code opening for LRN purposes</w:t>
      </w:r>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8"/>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9" w:name="_Toc314561456"/>
            <w:r w:rsidRPr="006C17F0">
              <w:rPr>
                <w:rFonts w:ascii="Arial" w:hAnsi="Arial" w:cs="Arial"/>
                <w:sz w:val="20"/>
                <w:szCs w:val="20"/>
              </w:rPr>
              <w:t>Total Applications Processed (Part 3s Issued)</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266</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Hlk253392609"/>
            <w:r w:rsidRPr="006C17F0">
              <w:rPr>
                <w:rFonts w:ascii="Arial" w:hAnsi="Arial" w:cs="Arial"/>
                <w:sz w:val="20"/>
                <w:szCs w:val="20"/>
              </w:rPr>
              <w:t># of applications not processed in 5 business days</w:t>
            </w:r>
            <w:bookmarkEnd w:id="10"/>
          </w:p>
        </w:tc>
        <w:tc>
          <w:tcPr>
            <w:tcW w:w="1260" w:type="dxa"/>
            <w:vAlign w:val="bottom"/>
          </w:tcPr>
          <w:p w:rsidR="0089513C" w:rsidRPr="0089513C" w:rsidRDefault="0089513C" w:rsidP="00321DB9">
            <w:pPr>
              <w:jc w:val="center"/>
              <w:rPr>
                <w:rFonts w:ascii="Arial" w:hAnsi="Arial" w:cs="Arial"/>
                <w:sz w:val="20"/>
                <w:szCs w:val="20"/>
              </w:rPr>
            </w:pPr>
            <w:r w:rsidRPr="0089513C">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2</w:t>
            </w:r>
            <w:r w:rsidR="002856E9">
              <w:rPr>
                <w:rFonts w:ascii="Arial" w:hAnsi="Arial" w:cs="Arial"/>
                <w:sz w:val="20"/>
                <w:szCs w:val="20"/>
              </w:rPr>
              <w:t>02</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55</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1</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321DB9" w:rsidP="00321DB9">
            <w:pPr>
              <w:jc w:val="center"/>
              <w:rPr>
                <w:rFonts w:ascii="Arial" w:hAnsi="Arial" w:cs="Arial"/>
                <w:sz w:val="20"/>
                <w:szCs w:val="20"/>
              </w:rPr>
            </w:pPr>
            <w:r>
              <w:rPr>
                <w:rFonts w:ascii="Arial" w:hAnsi="Arial" w:cs="Arial"/>
                <w:sz w:val="20"/>
                <w:szCs w:val="20"/>
              </w:rPr>
              <w:t>8</w:t>
            </w:r>
          </w:p>
        </w:tc>
      </w:tr>
    </w:tbl>
    <w:p w:rsidR="00E409C8" w:rsidRDefault="00E409C8" w:rsidP="005B4998">
      <w:pPr>
        <w:tabs>
          <w:tab w:val="num" w:pos="360"/>
        </w:tabs>
        <w:autoSpaceDE w:val="0"/>
        <w:autoSpaceDN w:val="0"/>
        <w:adjustRightInd w:val="0"/>
        <w:rPr>
          <w:rFonts w:ascii="Arial" w:hAnsi="Arial" w:cs="Arial"/>
          <w:sz w:val="20"/>
          <w:szCs w:val="20"/>
        </w:rPr>
      </w:pPr>
    </w:p>
    <w:p w:rsidR="005B4998" w:rsidRPr="00B87424" w:rsidRDefault="005B4998" w:rsidP="005B4998">
      <w:pPr>
        <w:tabs>
          <w:tab w:val="num" w:pos="360"/>
        </w:tabs>
        <w:autoSpaceDE w:val="0"/>
        <w:autoSpaceDN w:val="0"/>
        <w:adjustRightInd w:val="0"/>
        <w:rPr>
          <w:rFonts w:ascii="Arial" w:hAnsi="Arial" w:cs="Arial"/>
          <w:sz w:val="20"/>
          <w:szCs w:val="20"/>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9"/>
    </w:p>
    <w:p w:rsidR="00051954" w:rsidRDefault="005B4998" w:rsidP="005B4998">
      <w:pPr>
        <w:rPr>
          <w:lang w:eastAsia="x-none"/>
        </w:rPr>
      </w:pPr>
      <w:bookmarkStart w:id="11" w:name="_Toc314561457"/>
      <w:r>
        <w:rPr>
          <w:lang w:eastAsia="x-none"/>
        </w:rPr>
        <w:t>None</w:t>
      </w:r>
    </w:p>
    <w:p w:rsidR="005B4998" w:rsidRDefault="005B4998" w:rsidP="005B4998">
      <w:pPr>
        <w:rPr>
          <w:lang w:eastAsia="x-non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1"/>
      <w:r w:rsidRPr="006C17F0">
        <w:rPr>
          <w:rFonts w:ascii="Arial" w:hAnsi="Arial" w:cs="Arial"/>
          <w:sz w:val="20"/>
          <w:szCs w:val="20"/>
          <w:u w:val="single"/>
        </w:rPr>
        <w:t xml:space="preserve"> </w:t>
      </w:r>
    </w:p>
    <w:p w:rsidR="006234BC" w:rsidRPr="006C17F0" w:rsidRDefault="00A429BB" w:rsidP="00C63FA1">
      <w:pPr>
        <w:numPr>
          <w:ilvl w:val="0"/>
          <w:numId w:val="2"/>
        </w:numPr>
        <w:rPr>
          <w:rFonts w:ascii="Arial" w:hAnsi="Arial" w:cs="Arial"/>
          <w:sz w:val="20"/>
          <w:szCs w:val="20"/>
        </w:rPr>
      </w:pPr>
      <w:r w:rsidRPr="006C17F0">
        <w:rPr>
          <w:rFonts w:ascii="Arial" w:hAnsi="Arial" w:cs="Arial"/>
          <w:sz w:val="20"/>
          <w:szCs w:val="20"/>
        </w:rPr>
        <w:t>Rate center activity:</w:t>
      </w:r>
      <w:r w:rsidR="00932892" w:rsidRPr="006C17F0">
        <w:rPr>
          <w:rFonts w:ascii="Arial" w:hAnsi="Arial" w:cs="Arial"/>
          <w:sz w:val="20"/>
          <w:szCs w:val="20"/>
        </w:rPr>
        <w:t xml:space="preserve"> </w:t>
      </w:r>
    </w:p>
    <w:p w:rsidR="00D244CD" w:rsidRDefault="00D244CD" w:rsidP="00384E6A">
      <w:pPr>
        <w:ind w:left="360"/>
        <w:rPr>
          <w:rFonts w:ascii="Arial" w:hAnsi="Arial" w:cs="Arial"/>
          <w:sz w:val="20"/>
          <w:szCs w:val="20"/>
        </w:rPr>
      </w:pPr>
    </w:p>
    <w:p w:rsidR="009E3A1B" w:rsidRPr="006C17F0" w:rsidRDefault="00321DB9" w:rsidP="00384E6A">
      <w:pPr>
        <w:ind w:left="360"/>
        <w:rPr>
          <w:rFonts w:ascii="Arial" w:hAnsi="Arial" w:cs="Arial"/>
          <w:sz w:val="20"/>
          <w:szCs w:val="20"/>
        </w:rPr>
      </w:pPr>
      <w:r>
        <w:rPr>
          <w:rFonts w:ascii="Arial" w:hAnsi="Arial" w:cs="Arial"/>
          <w:sz w:val="20"/>
          <w:szCs w:val="20"/>
        </w:rPr>
        <w:t>June</w:t>
      </w:r>
      <w:r w:rsidR="00830B03">
        <w:rPr>
          <w:rFonts w:ascii="Arial" w:hAnsi="Arial" w:cs="Arial"/>
          <w:sz w:val="20"/>
          <w:szCs w:val="20"/>
        </w:rPr>
        <w:t xml:space="preserve"> </w:t>
      </w:r>
      <w:r w:rsidR="00672269">
        <w:rPr>
          <w:rFonts w:ascii="Arial" w:hAnsi="Arial" w:cs="Arial"/>
          <w:sz w:val="20"/>
          <w:szCs w:val="20"/>
        </w:rPr>
        <w:t>2015</w:t>
      </w:r>
      <w:r w:rsidR="00201DFC">
        <w:rPr>
          <w:rFonts w:ascii="Arial" w:hAnsi="Arial" w:cs="Arial"/>
          <w:sz w:val="20"/>
          <w:szCs w:val="20"/>
        </w:rPr>
        <w:t xml:space="preserve"> </w:t>
      </w:r>
      <w:r w:rsidR="007D2F21" w:rsidRPr="006C17F0">
        <w:rPr>
          <w:rFonts w:ascii="Arial" w:hAnsi="Arial" w:cs="Arial"/>
          <w:sz w:val="20"/>
          <w:szCs w:val="20"/>
        </w:rPr>
        <w:t xml:space="preserve">RC/NPA changes: </w:t>
      </w:r>
      <w:r w:rsidR="00EA20FA">
        <w:rPr>
          <w:rFonts w:ascii="Arial" w:hAnsi="Arial" w:cs="Arial"/>
          <w:sz w:val="20"/>
          <w:szCs w:val="20"/>
        </w:rPr>
        <w:t xml:space="preserve"> </w:t>
      </w:r>
      <w:r>
        <w:rPr>
          <w:rFonts w:ascii="Arial" w:hAnsi="Arial" w:cs="Arial"/>
          <w:sz w:val="20"/>
          <w:szCs w:val="20"/>
        </w:rPr>
        <w:t>24</w:t>
      </w:r>
      <w:r w:rsidR="00EA20FA">
        <w:rPr>
          <w:rFonts w:ascii="Arial" w:hAnsi="Arial" w:cs="Arial"/>
          <w:sz w:val="20"/>
          <w:szCs w:val="20"/>
        </w:rPr>
        <w:t xml:space="preserve"> </w:t>
      </w:r>
      <w:r w:rsidR="00D90C02" w:rsidRPr="006C17F0">
        <w:rPr>
          <w:rFonts w:ascii="Arial" w:hAnsi="Arial" w:cs="Arial"/>
          <w:sz w:val="20"/>
          <w:szCs w:val="20"/>
        </w:rPr>
        <w:t>rate centers involved with</w:t>
      </w:r>
      <w:r w:rsidR="0036641D">
        <w:rPr>
          <w:rFonts w:ascii="Arial" w:hAnsi="Arial" w:cs="Arial"/>
          <w:sz w:val="20"/>
          <w:szCs w:val="20"/>
        </w:rPr>
        <w:t xml:space="preserve"> </w:t>
      </w:r>
      <w:r>
        <w:rPr>
          <w:rFonts w:ascii="Arial" w:hAnsi="Arial" w:cs="Arial"/>
          <w:sz w:val="20"/>
          <w:szCs w:val="20"/>
        </w:rPr>
        <w:t>9</w:t>
      </w:r>
      <w:r w:rsidR="009F2659" w:rsidRPr="006C17F0">
        <w:rPr>
          <w:rFonts w:ascii="Arial" w:hAnsi="Arial" w:cs="Arial"/>
          <w:sz w:val="20"/>
          <w:szCs w:val="20"/>
        </w:rPr>
        <w:t xml:space="preserve"> NPAs and </w:t>
      </w:r>
      <w:r>
        <w:rPr>
          <w:rFonts w:ascii="Arial" w:hAnsi="Arial" w:cs="Arial"/>
          <w:sz w:val="20"/>
          <w:szCs w:val="20"/>
        </w:rPr>
        <w:t>7</w:t>
      </w:r>
      <w:r w:rsidR="008021F1">
        <w:rPr>
          <w:rFonts w:ascii="Arial" w:hAnsi="Arial" w:cs="Arial"/>
          <w:sz w:val="20"/>
          <w:szCs w:val="20"/>
        </w:rPr>
        <w:t xml:space="preserve"> </w:t>
      </w:r>
      <w:r w:rsidR="00D90C02" w:rsidRPr="006C17F0">
        <w:rPr>
          <w:rFonts w:ascii="Arial" w:hAnsi="Arial" w:cs="Arial"/>
          <w:sz w:val="20"/>
          <w:szCs w:val="20"/>
        </w:rPr>
        <w:t>states: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321DB9">
        <w:t>3</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w:t>
      </w:r>
      <w:r>
        <w:rPr>
          <w:color w:val="008080"/>
        </w:rPr>
        <w:t xml:space="preserve">  </w:t>
      </w:r>
      <w:r w:rsidRPr="007E5F46">
        <w:t>=</w:t>
      </w:r>
      <w:r>
        <w:t xml:space="preserve">   </w:t>
      </w:r>
      <w:r w:rsidR="00E20F1B">
        <w:t>0</w:t>
      </w:r>
    </w:p>
    <w:p w:rsidR="00CD2BEA" w:rsidRDefault="00CD2BEA" w:rsidP="00CD2BEA">
      <w:pPr>
        <w:autoSpaceDE w:val="0"/>
        <w:autoSpaceDN w:val="0"/>
        <w:adjustRightInd w:val="0"/>
        <w:ind w:left="360"/>
      </w:pPr>
      <w:r>
        <w:lastRenderedPageBreak/>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t>*</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321DB9">
        <w:t>18</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321DB9">
        <w:t>3</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9A4855" w:rsidRPr="00ED3D74" w:rsidRDefault="00ED3D74" w:rsidP="009A4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Participated in the following meetings:</w:t>
      </w:r>
    </w:p>
    <w:p w:rsidR="006F4AE5" w:rsidRPr="006F5CC3" w:rsidRDefault="00AD3875" w:rsidP="00ED3D74">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 xml:space="preserve">ID 208 </w:t>
      </w:r>
      <w:r w:rsidR="00321DB9">
        <w:rPr>
          <w:rFonts w:ascii="Arial" w:hAnsi="Arial" w:cs="Arial"/>
          <w:sz w:val="20"/>
          <w:szCs w:val="20"/>
        </w:rPr>
        <w:t>relief planning</w:t>
      </w:r>
      <w:r>
        <w:rPr>
          <w:rFonts w:ascii="Arial" w:hAnsi="Arial" w:cs="Arial"/>
          <w:sz w:val="20"/>
          <w:szCs w:val="20"/>
        </w:rPr>
        <w:t xml:space="preserve"> call on </w:t>
      </w:r>
      <w:r w:rsidR="00321DB9">
        <w:rPr>
          <w:rFonts w:ascii="Arial" w:hAnsi="Arial" w:cs="Arial"/>
          <w:sz w:val="20"/>
          <w:szCs w:val="20"/>
        </w:rPr>
        <w:t>June 9</w:t>
      </w:r>
      <w:r>
        <w:rPr>
          <w:rFonts w:ascii="Arial" w:hAnsi="Arial" w:cs="Arial"/>
          <w:sz w:val="20"/>
          <w:szCs w:val="20"/>
        </w:rPr>
        <w:t>, 2015</w:t>
      </w:r>
    </w:p>
    <w:p w:rsidR="00ED3D74" w:rsidRPr="00C214D7" w:rsidRDefault="00ED3D74" w:rsidP="00C214D7">
      <w:pPr>
        <w:autoSpaceDE w:val="0"/>
        <w:autoSpaceDN w:val="0"/>
        <w:adjustRightInd w:val="0"/>
        <w:jc w:val="both"/>
        <w:rPr>
          <w:rFonts w:ascii="Arial" w:hAnsi="Arial" w:cs="Arial"/>
          <w:b/>
          <w:sz w:val="20"/>
          <w:szCs w:val="20"/>
          <w:u w:val="single"/>
        </w:rPr>
      </w:pPr>
    </w:p>
    <w:p w:rsidR="009B2262" w:rsidRPr="006C17F0" w:rsidRDefault="009B2262" w:rsidP="009B2262">
      <w:pPr>
        <w:autoSpaceDE w:val="0"/>
        <w:autoSpaceDN w:val="0"/>
        <w:adjustRightInd w:val="0"/>
        <w:jc w:val="both"/>
        <w:rPr>
          <w:rFonts w:ascii="Arial" w:hAnsi="Arial" w:cs="Arial"/>
          <w:b/>
          <w:sz w:val="20"/>
          <w:szCs w:val="20"/>
          <w:u w:val="single"/>
        </w:rPr>
      </w:pPr>
      <w:r w:rsidRPr="006C17F0">
        <w:rPr>
          <w:rFonts w:ascii="Arial" w:hAnsi="Arial" w:cs="Arial"/>
          <w:b/>
          <w:sz w:val="20"/>
          <w:szCs w:val="20"/>
          <w:u w:val="single"/>
        </w:rPr>
        <w:t>Activities related to requests for pooling-related data:</w:t>
      </w:r>
    </w:p>
    <w:p w:rsidR="00097855" w:rsidRPr="00ED3D74" w:rsidRDefault="00097855" w:rsidP="00097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Provided NANPA the following:</w:t>
      </w:r>
    </w:p>
    <w:p w:rsidR="006F5CC3" w:rsidRPr="006F5CC3" w:rsidRDefault="006F5CC3"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 xml:space="preserve">ID 208 </w:t>
      </w:r>
      <w:r w:rsidR="00AD3875">
        <w:rPr>
          <w:rFonts w:ascii="Arial" w:hAnsi="Arial" w:cs="Arial"/>
          <w:sz w:val="20"/>
          <w:szCs w:val="20"/>
        </w:rPr>
        <w:t xml:space="preserve">– updated </w:t>
      </w:r>
      <w:r>
        <w:rPr>
          <w:rFonts w:ascii="Arial" w:hAnsi="Arial" w:cs="Arial"/>
          <w:sz w:val="20"/>
          <w:szCs w:val="20"/>
        </w:rPr>
        <w:t xml:space="preserve">pooling data for </w:t>
      </w:r>
      <w:r w:rsidR="00321DB9">
        <w:rPr>
          <w:rFonts w:ascii="Arial" w:hAnsi="Arial" w:cs="Arial"/>
          <w:sz w:val="20"/>
          <w:szCs w:val="20"/>
        </w:rPr>
        <w:t>June 9</w:t>
      </w:r>
      <w:r>
        <w:rPr>
          <w:rFonts w:ascii="Arial" w:hAnsi="Arial" w:cs="Arial"/>
          <w:sz w:val="20"/>
          <w:szCs w:val="20"/>
        </w:rPr>
        <w:t xml:space="preserve"> relief planning call</w:t>
      </w:r>
    </w:p>
    <w:p w:rsidR="00AD3875" w:rsidRPr="003C1465" w:rsidRDefault="003C1465"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TX 210 – pooling data for August 26 relief planning call</w:t>
      </w:r>
    </w:p>
    <w:p w:rsidR="003C1465" w:rsidRPr="00AD3875" w:rsidRDefault="003C1465"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PA 717 – pooling data for July 22 pre-IPD call</w:t>
      </w:r>
    </w:p>
    <w:p w:rsidR="006F5CC3" w:rsidRPr="00AD3875" w:rsidRDefault="006F5CC3" w:rsidP="00AD3875">
      <w:pPr>
        <w:pStyle w:val="ListParagraph"/>
        <w:autoSpaceDE w:val="0"/>
        <w:autoSpaceDN w:val="0"/>
        <w:adjustRightInd w:val="0"/>
        <w:ind w:left="1080"/>
        <w:jc w:val="both"/>
        <w:rPr>
          <w:rFonts w:ascii="Arial" w:hAnsi="Arial" w:cs="Arial"/>
          <w:b/>
          <w:sz w:val="20"/>
          <w:szCs w:val="20"/>
          <w:u w:val="single"/>
        </w:rPr>
      </w:pPr>
    </w:p>
    <w:p w:rsidR="00ED3D74" w:rsidRDefault="00ED3D74" w:rsidP="00ED3D74">
      <w:pPr>
        <w:autoSpaceDE w:val="0"/>
        <w:autoSpaceDN w:val="0"/>
        <w:adjustRightInd w:val="0"/>
        <w:rPr>
          <w:rFonts w:ascii="Arial" w:hAnsi="Arial" w:cs="Arial"/>
          <w:sz w:val="20"/>
          <w:szCs w:val="20"/>
        </w:rPr>
      </w:pPr>
    </w:p>
    <w:p w:rsidR="00DF795F" w:rsidRPr="006C17F0" w:rsidRDefault="00DF795F" w:rsidP="00AA17F1">
      <w:pPr>
        <w:pStyle w:val="Heading1"/>
        <w:spacing w:before="0" w:after="0"/>
        <w:rPr>
          <w:rFonts w:ascii="Arial" w:hAnsi="Arial" w:cs="Arial"/>
          <w:sz w:val="20"/>
          <w:szCs w:val="20"/>
          <w:u w:val="single"/>
        </w:rPr>
      </w:pPr>
      <w:bookmarkStart w:id="12" w:name="_Toc314561458"/>
      <w:r w:rsidRPr="006C17F0">
        <w:rPr>
          <w:rFonts w:ascii="Arial" w:hAnsi="Arial" w:cs="Arial"/>
          <w:sz w:val="20"/>
          <w:szCs w:val="20"/>
          <w:u w:val="single"/>
        </w:rPr>
        <w:t>Regulatory Update</w:t>
      </w:r>
      <w:bookmarkEnd w:id="12"/>
    </w:p>
    <w:p w:rsidR="00741644" w:rsidRDefault="00741644" w:rsidP="006F5CC3">
      <w:pPr>
        <w:pStyle w:val="ListParagraph"/>
        <w:numPr>
          <w:ilvl w:val="0"/>
          <w:numId w:val="4"/>
        </w:numPr>
        <w:rPr>
          <w:rFonts w:ascii="Arial" w:hAnsi="Arial" w:cs="Arial"/>
          <w:sz w:val="20"/>
          <w:szCs w:val="20"/>
        </w:rPr>
      </w:pPr>
      <w:r>
        <w:rPr>
          <w:rFonts w:ascii="Arial" w:hAnsi="Arial" w:cs="Arial"/>
          <w:sz w:val="20"/>
          <w:szCs w:val="20"/>
        </w:rPr>
        <w:t xml:space="preserve">The PA recently received a “proof of certification” that was in Spanish.  The PA noted that the certifications should be submitted in English.  </w:t>
      </w:r>
      <w:r w:rsidR="00D920F4">
        <w:rPr>
          <w:rFonts w:ascii="Arial" w:hAnsi="Arial" w:cs="Arial"/>
          <w:sz w:val="20"/>
          <w:szCs w:val="20"/>
        </w:rPr>
        <w:t>PA may take this into INC as an issue.</w:t>
      </w:r>
    </w:p>
    <w:p w:rsidR="00F506F9" w:rsidRDefault="00F506F9" w:rsidP="007E4947">
      <w:pPr>
        <w:pStyle w:val="ListParagraph"/>
        <w:ind w:left="360"/>
        <w:rPr>
          <w:rFonts w:ascii="Arial" w:hAnsi="Arial" w:cs="Arial"/>
          <w:sz w:val="20"/>
          <w:szCs w:val="20"/>
        </w:rPr>
      </w:pPr>
    </w:p>
    <w:p w:rsidR="008433BD" w:rsidRPr="008433BD" w:rsidRDefault="008433BD" w:rsidP="008433BD">
      <w:pPr>
        <w:pStyle w:val="ListParagraph"/>
        <w:rPr>
          <w:rFonts w:ascii="Arial" w:hAnsi="Arial" w:cs="Arial"/>
          <w:sz w:val="20"/>
          <w:szCs w:val="20"/>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Ongoing: Send courtesy email to applicant requesting documentation or correct documentation. In some cases, provided the license to the carrier. </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Ongoing: The RNA will continue to assign in that manner in an NPA until either the 211 or 511 NXX is depleted or if a carrier has requested a specific assignment preference. </w:t>
            </w:r>
          </w:p>
        </w:tc>
      </w:tr>
      <w:tr w:rsidR="00BC51A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Received an FCC license that recently expired.</w:t>
            </w:r>
          </w:p>
        </w:tc>
        <w:tc>
          <w:tcPr>
            <w:tcW w:w="4770" w:type="dxa"/>
            <w:tcBorders>
              <w:top w:val="single" w:sz="4" w:space="0" w:color="auto"/>
              <w:left w:val="nil"/>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Provided the carrier with an updated FCC license with the new expiration date to use for future requests.</w:t>
            </w:r>
          </w:p>
        </w:tc>
      </w:tr>
      <w:tr w:rsidR="00BC51A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Received a request for p-ANIs where the SPC was having difficulties locating the correct FCC license. </w:t>
            </w:r>
          </w:p>
        </w:tc>
        <w:tc>
          <w:tcPr>
            <w:tcW w:w="4770" w:type="dxa"/>
            <w:tcBorders>
              <w:top w:val="single" w:sz="4" w:space="0" w:color="auto"/>
              <w:left w:val="nil"/>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Assisted the SPC in locating the correct documentation.</w:t>
            </w:r>
          </w:p>
        </w:tc>
      </w:tr>
      <w:tr w:rsidR="00BC51A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Received a request for p-ANIs where the SPC couldn’t locate the FCC license. </w:t>
            </w:r>
          </w:p>
        </w:tc>
        <w:tc>
          <w:tcPr>
            <w:tcW w:w="4770" w:type="dxa"/>
            <w:tcBorders>
              <w:top w:val="single" w:sz="4" w:space="0" w:color="auto"/>
              <w:left w:val="nil"/>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Found the proper documentation and provided it to the carrier and directions on how to locate it for future reference.</w:t>
            </w:r>
          </w:p>
        </w:tc>
      </w:tr>
      <w:tr w:rsidR="00BC51A5" w:rsidRPr="00AF1E50" w:rsidTr="00085AC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 xml:space="preserve">Received a request for p-ANIs from an SP using a nationwide FCC license (3650-3700 MHz Radio Service). </w:t>
            </w:r>
          </w:p>
        </w:tc>
        <w:tc>
          <w:tcPr>
            <w:tcW w:w="4770" w:type="dxa"/>
            <w:tcBorders>
              <w:top w:val="single" w:sz="4" w:space="0" w:color="auto"/>
              <w:left w:val="nil"/>
              <w:bottom w:val="single" w:sz="4" w:space="0" w:color="auto"/>
              <w:right w:val="single" w:sz="4" w:space="0" w:color="auto"/>
            </w:tcBorders>
            <w:shd w:val="clear" w:color="auto" w:fill="auto"/>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In reviewing the license, we came across an additional fixed and base station registration requirement.  As a result, we had extensive correspondence with the FCC as to how to proceed with this type of license.  The FCC ultimately directed us to request that the SP provide proof showing that the fixed sites and/or base stations for the area in which they are requesting the p-ANIs have been registered with the FCC.  Also, we are bringing an issue to INC to add this to the guidelines.    </w:t>
            </w:r>
          </w:p>
        </w:tc>
      </w:tr>
    </w:tbl>
    <w:p w:rsidR="00AF1E50" w:rsidRDefault="00AF1E50" w:rsidP="004B2FFF">
      <w:pPr>
        <w:ind w:left="1080"/>
        <w:rPr>
          <w:rFonts w:ascii="Arial" w:hAnsi="Arial" w:cs="Arial"/>
          <w:sz w:val="20"/>
          <w:szCs w:val="20"/>
        </w:rPr>
      </w:pPr>
    </w:p>
    <w:p w:rsidR="00AF1E50" w:rsidRDefault="00AF1E50" w:rsidP="004B2FFF">
      <w:pPr>
        <w:ind w:left="1080"/>
        <w:rPr>
          <w:rFonts w:ascii="Arial" w:hAnsi="Arial" w:cs="Arial"/>
          <w:sz w:val="20"/>
          <w:szCs w:val="20"/>
        </w:rPr>
      </w:pPr>
    </w:p>
    <w:p w:rsidR="00AF1E50" w:rsidRP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BC51A5"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We were asked to request voluntary block disconnects in a pooling rate center that did not have any available blocks.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We requested block disconnects for the rate center and successfully received 2 block disconnects for the rate center. This process resulted in a code being saved.</w:t>
            </w:r>
          </w:p>
        </w:tc>
      </w:tr>
      <w:tr w:rsidR="00BC51A5"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We were asked to open up 3 excluded rate centers to optional pooling so that numbering resources may 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We requested block disconnects for all 3 rate centers and successfully received 10 block disconnects for 3 of the rate centers. This process resulted in 3 codes being saved.</w:t>
            </w:r>
          </w:p>
        </w:tc>
      </w:tr>
      <w:tr w:rsidR="00BC51A5"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A regulatory staff person  had approached an applicant whose SP needed to establish 2 LRNs and had requested them to seek code transfer from other SPs.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Instead of opening up two new codes the PA and NANPA worked with 2 SPs to transfer 2 codes to the SP who needed to establish 2 LRNs.  This process resulted in 2 codes being saved.</w:t>
            </w:r>
          </w:p>
        </w:tc>
      </w:tr>
      <w:tr w:rsidR="00BC51A5"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We were made aware that a company had abandoned pooled codes in a state.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We worked with NANPA to get permission from the regulators to reclaim the numbering resources as abandoned.  We also worked with the NPAC to disconnect any LRNs or ported TNs from the NPAC for these companies.  We are continuing to try to find new code holders for the 3 pooled codes needing to be transferred.</w:t>
            </w:r>
          </w:p>
          <w:p w:rsidR="00BC51A5" w:rsidRPr="00BC51A5" w:rsidRDefault="00BC51A5" w:rsidP="00BC51A5">
            <w:pPr>
              <w:rPr>
                <w:rFonts w:ascii="Arial" w:hAnsi="Arial" w:cs="Arial"/>
                <w:bCs/>
                <w:kern w:val="32"/>
                <w:sz w:val="20"/>
                <w:szCs w:val="20"/>
              </w:rPr>
            </w:pPr>
          </w:p>
        </w:tc>
      </w:tr>
      <w:tr w:rsidR="00BC51A5"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After seeing 2 requests to open codes for LRNs in the same rate center, a state regulatory staff person sought alternatives.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Reviewed the assigned codes within the rate center and the NPA and offered possible transfer opportunities which the staff person and SP then worked together with our team to complete.</w:t>
            </w:r>
          </w:p>
        </w:tc>
      </w:tr>
      <w:tr w:rsidR="00BC51A5"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A regulatory staff person requested information about alternatives to opening 10 codes for LRNs in the state.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Worked extensively with the staff person, researching assigned codes in the 10 rate centers that may be available for transfer, finding an abandoned code and ultimately ended up saving the opening of 5 NXX codes.</w:t>
            </w:r>
          </w:p>
        </w:tc>
      </w:tr>
      <w:tr w:rsidR="00BC51A5"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A regulatory staff person sought information on alternatives to opening 5 codes in one NPA for pool replenishment.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BC51A5" w:rsidRPr="00BC51A5" w:rsidRDefault="00BC51A5" w:rsidP="00BC51A5">
            <w:pPr>
              <w:rPr>
                <w:rFonts w:ascii="Arial" w:hAnsi="Arial" w:cs="Arial"/>
                <w:bCs/>
                <w:kern w:val="32"/>
                <w:sz w:val="20"/>
                <w:szCs w:val="20"/>
              </w:rPr>
            </w:pPr>
            <w:r w:rsidRPr="00BC51A5">
              <w:rPr>
                <w:rFonts w:ascii="Arial" w:hAnsi="Arial" w:cs="Arial"/>
                <w:bCs/>
                <w:kern w:val="32"/>
                <w:sz w:val="20"/>
                <w:szCs w:val="20"/>
              </w:rPr>
              <w:t>Reviewed the assigned codes within the rate centers and offered possible opportunities for blocks to be returned to the pool.  The staff person and SP then worked together with our team to complete the block returns which saved the opening of the 5 NXX codes.</w:t>
            </w:r>
          </w:p>
        </w:tc>
      </w:tr>
    </w:tbl>
    <w:p w:rsidR="000C5A67" w:rsidRPr="00872E20" w:rsidRDefault="000C5A67" w:rsidP="001F3AC4">
      <w:pPr>
        <w:rPr>
          <w:rFonts w:ascii="Arial" w:hAnsi="Arial" w:cs="Arial"/>
          <w:sz w:val="20"/>
          <w:szCs w:val="20"/>
        </w:rPr>
      </w:pPr>
    </w:p>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3" w:name="_Toc314561459"/>
      <w:r>
        <w:rPr>
          <w:rFonts w:ascii="Arial" w:hAnsi="Arial" w:cs="Arial"/>
          <w:sz w:val="20"/>
          <w:szCs w:val="20"/>
          <w:u w:val="single"/>
          <w:lang w:val="en-US"/>
        </w:rPr>
        <w:t>Trouble Ticket Log</w:t>
      </w:r>
    </w:p>
    <w:p w:rsidR="009409AD" w:rsidRDefault="00805B43" w:rsidP="002A5E0E">
      <w:pPr>
        <w:pStyle w:val="ListParagraph"/>
        <w:numPr>
          <w:ilvl w:val="0"/>
          <w:numId w:val="4"/>
        </w:numPr>
        <w:tabs>
          <w:tab w:val="left" w:pos="360"/>
          <w:tab w:val="num" w:pos="720"/>
        </w:tabs>
        <w:rPr>
          <w:rFonts w:ascii="Arial" w:hAnsi="Arial" w:cs="Arial"/>
          <w:bCs/>
          <w:kern w:val="32"/>
          <w:sz w:val="20"/>
          <w:szCs w:val="20"/>
        </w:rPr>
      </w:pPr>
      <w:r>
        <w:rPr>
          <w:rFonts w:ascii="Arial" w:hAnsi="Arial" w:cs="Arial"/>
          <w:bCs/>
          <w:kern w:val="32"/>
          <w:sz w:val="20"/>
          <w:szCs w:val="20"/>
        </w:rPr>
        <w:t xml:space="preserve">Two </w:t>
      </w:r>
      <w:r w:rsidR="00214A7A">
        <w:rPr>
          <w:rFonts w:ascii="Arial" w:hAnsi="Arial" w:cs="Arial"/>
          <w:bCs/>
          <w:kern w:val="32"/>
          <w:sz w:val="20"/>
          <w:szCs w:val="20"/>
        </w:rPr>
        <w:t>new</w:t>
      </w:r>
      <w:r>
        <w:rPr>
          <w:rFonts w:ascii="Arial" w:hAnsi="Arial" w:cs="Arial"/>
          <w:bCs/>
          <w:kern w:val="32"/>
          <w:sz w:val="20"/>
          <w:szCs w:val="20"/>
        </w:rPr>
        <w:t xml:space="preserve"> tickets – 152</w:t>
      </w:r>
      <w:r w:rsidR="00214A7A">
        <w:rPr>
          <w:rFonts w:ascii="Arial" w:hAnsi="Arial" w:cs="Arial"/>
          <w:bCs/>
          <w:kern w:val="32"/>
          <w:sz w:val="20"/>
          <w:szCs w:val="20"/>
        </w:rPr>
        <w:t>7</w:t>
      </w:r>
      <w:r>
        <w:rPr>
          <w:rFonts w:ascii="Arial" w:hAnsi="Arial" w:cs="Arial"/>
          <w:bCs/>
          <w:kern w:val="32"/>
          <w:sz w:val="20"/>
          <w:szCs w:val="20"/>
        </w:rPr>
        <w:t xml:space="preserve"> and 152</w:t>
      </w:r>
      <w:r w:rsidR="00214A7A">
        <w:rPr>
          <w:rFonts w:ascii="Arial" w:hAnsi="Arial" w:cs="Arial"/>
          <w:bCs/>
          <w:kern w:val="32"/>
          <w:sz w:val="20"/>
          <w:szCs w:val="20"/>
        </w:rPr>
        <w:t>8</w:t>
      </w:r>
    </w:p>
    <w:p w:rsidR="009409AD" w:rsidRPr="002A5E0E" w:rsidRDefault="009409AD" w:rsidP="009409AD">
      <w:pPr>
        <w:tabs>
          <w:tab w:val="left" w:pos="360"/>
          <w:tab w:val="num" w:pos="720"/>
        </w:tabs>
        <w:rPr>
          <w:rFonts w:ascii="Arial" w:hAnsi="Arial" w:cs="Arial"/>
          <w:bCs/>
          <w:kern w:val="32"/>
          <w:sz w:val="20"/>
          <w:szCs w:val="20"/>
        </w:rPr>
      </w:pPr>
    </w:p>
    <w:p w:rsidR="009409AD" w:rsidRDefault="009409AD" w:rsidP="009409AD">
      <w:pPr>
        <w:pStyle w:val="ListParagraph"/>
        <w:ind w:left="360"/>
        <w:rPr>
          <w:rFonts w:ascii="Arial" w:hAnsi="Arial" w:cs="Arial"/>
          <w:bCs/>
          <w:kern w:val="32"/>
          <w:sz w:val="20"/>
          <w:szCs w:val="20"/>
        </w:rPr>
      </w:pPr>
      <w:r>
        <w:rPr>
          <w:rFonts w:ascii="Arial" w:hAnsi="Arial" w:cs="Arial"/>
          <w:bCs/>
          <w:kern w:val="32"/>
          <w:sz w:val="20"/>
          <w:szCs w:val="20"/>
        </w:rPr>
        <w:t>See the following trouble ticket log for a list of all opened and closed trouble tickets.</w:t>
      </w:r>
    </w:p>
    <w:p w:rsidR="009409AD" w:rsidRDefault="009409AD" w:rsidP="002A5E0E">
      <w:pPr>
        <w:tabs>
          <w:tab w:val="left" w:pos="360"/>
          <w:tab w:val="num" w:pos="720"/>
        </w:tabs>
        <w:rPr>
          <w:rFonts w:ascii="Arial" w:hAnsi="Arial" w:cs="Arial"/>
          <w:bCs/>
          <w:kern w:val="32"/>
          <w:sz w:val="20"/>
          <w:szCs w:val="20"/>
        </w:rPr>
      </w:pPr>
    </w:p>
    <w:p w:rsidR="002A5E0E" w:rsidRPr="002A5E0E" w:rsidRDefault="002A5E0E" w:rsidP="002A5E0E">
      <w:pPr>
        <w:tabs>
          <w:tab w:val="left" w:pos="360"/>
          <w:tab w:val="num" w:pos="720"/>
        </w:tabs>
        <w:rPr>
          <w:rFonts w:ascii="Arial" w:hAnsi="Arial" w:cs="Arial"/>
          <w:bCs/>
          <w:kern w:val="32"/>
          <w:sz w:val="20"/>
          <w:szCs w:val="20"/>
        </w:rPr>
      </w:pPr>
    </w:p>
    <w:bookmarkStart w:id="14" w:name="_MON_1498635264"/>
    <w:bookmarkEnd w:id="14"/>
    <w:p w:rsidR="002A5E0E" w:rsidRDefault="00240291" w:rsidP="002A5E0E">
      <w:pPr>
        <w:tabs>
          <w:tab w:val="left" w:pos="360"/>
          <w:tab w:val="num" w:pos="720"/>
        </w:tabs>
        <w:rPr>
          <w:rFonts w:ascii="Arial" w:hAnsi="Arial" w:cs="Arial"/>
          <w:bCs/>
          <w:kern w:val="32"/>
          <w:sz w:val="20"/>
          <w:szCs w:val="20"/>
        </w:rPr>
      </w:pPr>
      <w:r>
        <w:rPr>
          <w:rFonts w:ascii="Arial" w:hAnsi="Arial" w:cs="Arial"/>
          <w:bCs/>
          <w:kern w:val="32"/>
          <w:sz w:val="20"/>
          <w:szCs w:val="20"/>
        </w:rPr>
        <w:object w:dxaOrig="1531" w:dyaOrig="990">
          <v:shape id="_x0000_i1026" type="#_x0000_t75" style="width:76.4pt;height:49.45pt" o:ole="">
            <v:imagedata r:id="rId10" o:title=""/>
          </v:shape>
          <o:OLEObject Type="Embed" ProgID="Excel.Sheet.12" ShapeID="_x0000_i1026" DrawAspect="Icon" ObjectID="_1504508755" r:id="rId11"/>
        </w:object>
      </w:r>
    </w:p>
    <w:p w:rsidR="004F044A" w:rsidRDefault="004F044A" w:rsidP="004A2513">
      <w:pPr>
        <w:pStyle w:val="ListParagraph"/>
        <w:ind w:left="360"/>
        <w:rPr>
          <w:rFonts w:ascii="Arial" w:hAnsi="Arial" w:cs="Arial"/>
          <w:bCs/>
          <w:kern w:val="32"/>
          <w:sz w:val="20"/>
          <w:szCs w:val="20"/>
        </w:rPr>
      </w:pPr>
    </w:p>
    <w:p w:rsidR="002B7B06" w:rsidRPr="006C2C7F" w:rsidRDefault="002B7B06" w:rsidP="004A2513">
      <w:pPr>
        <w:pStyle w:val="ListParagraph"/>
        <w:ind w:left="360"/>
        <w:rPr>
          <w:rFonts w:ascii="Arial" w:hAnsi="Arial" w:cs="Arial"/>
          <w:bCs/>
          <w:kern w:val="32"/>
          <w:sz w:val="20"/>
          <w:szCs w:val="20"/>
        </w:rPr>
      </w:pPr>
    </w:p>
    <w:bookmarkEnd w:id="13"/>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D920F4" w:rsidRDefault="00214A7A" w:rsidP="00D920F4">
      <w:pPr>
        <w:pStyle w:val="ListParagraph"/>
        <w:numPr>
          <w:ilvl w:val="0"/>
          <w:numId w:val="4"/>
        </w:numPr>
        <w:rPr>
          <w:rFonts w:ascii="Arial" w:hAnsi="Arial" w:cs="Arial"/>
          <w:color w:val="000000"/>
          <w:sz w:val="20"/>
          <w:szCs w:val="20"/>
        </w:rPr>
      </w:pPr>
      <w:r>
        <w:rPr>
          <w:rFonts w:ascii="Arial" w:hAnsi="Arial" w:cs="Arial"/>
          <w:color w:val="000000"/>
          <w:sz w:val="20"/>
          <w:szCs w:val="20"/>
        </w:rPr>
        <w:lastRenderedPageBreak/>
        <w:t>Jess</w:t>
      </w:r>
      <w:r w:rsidR="00240291">
        <w:rPr>
          <w:rFonts w:ascii="Arial" w:hAnsi="Arial" w:cs="Arial"/>
          <w:color w:val="000000"/>
          <w:sz w:val="20"/>
          <w:szCs w:val="20"/>
        </w:rPr>
        <w:t>e</w:t>
      </w:r>
      <w:r>
        <w:rPr>
          <w:rFonts w:ascii="Arial" w:hAnsi="Arial" w:cs="Arial"/>
          <w:color w:val="000000"/>
          <w:sz w:val="20"/>
          <w:szCs w:val="20"/>
        </w:rPr>
        <w:t xml:space="preserve"> Armstrong</w:t>
      </w:r>
      <w:r w:rsidR="00240291">
        <w:rPr>
          <w:rFonts w:ascii="Arial" w:hAnsi="Arial" w:cs="Arial"/>
          <w:color w:val="000000"/>
          <w:sz w:val="20"/>
          <w:szCs w:val="20"/>
        </w:rPr>
        <w:t xml:space="preserve"> </w:t>
      </w:r>
      <w:r w:rsidR="00D920F4">
        <w:rPr>
          <w:rFonts w:ascii="Arial" w:hAnsi="Arial" w:cs="Arial"/>
          <w:color w:val="000000"/>
          <w:sz w:val="20"/>
          <w:szCs w:val="20"/>
        </w:rPr>
        <w:t>was introduced as a new data analyst with the PA.   Jesse will be assuming some of the functions currently handled by Bruce Armstrong who is going to a part time status.</w:t>
      </w:r>
    </w:p>
    <w:p w:rsidR="00240291" w:rsidRPr="00D920F4" w:rsidRDefault="00D920F4" w:rsidP="00D920F4">
      <w:pPr>
        <w:rPr>
          <w:rFonts w:ascii="Arial" w:hAnsi="Arial" w:cs="Arial"/>
          <w:color w:val="000000"/>
          <w:sz w:val="20"/>
          <w:szCs w:val="20"/>
        </w:rPr>
      </w:pPr>
      <w:r w:rsidRPr="00D920F4">
        <w:rPr>
          <w:rFonts w:ascii="Arial" w:hAnsi="Arial" w:cs="Arial"/>
          <w:color w:val="000000"/>
          <w:sz w:val="20"/>
          <w:szCs w:val="20"/>
        </w:rPr>
        <w:t xml:space="preserve"> </w:t>
      </w:r>
    </w:p>
    <w:p w:rsidR="00240291" w:rsidRPr="00240291" w:rsidRDefault="00D920F4" w:rsidP="00D920F4">
      <w:pPr>
        <w:pStyle w:val="ListParagraph"/>
        <w:numPr>
          <w:ilvl w:val="0"/>
          <w:numId w:val="4"/>
        </w:numPr>
        <w:rPr>
          <w:rFonts w:ascii="Arial" w:hAnsi="Arial" w:cs="Arial"/>
          <w:color w:val="000000"/>
          <w:sz w:val="20"/>
          <w:szCs w:val="20"/>
        </w:rPr>
      </w:pPr>
      <w:r>
        <w:rPr>
          <w:rFonts w:ascii="Arial" w:hAnsi="Arial" w:cs="Arial"/>
          <w:color w:val="000000"/>
          <w:sz w:val="20"/>
          <w:szCs w:val="20"/>
        </w:rPr>
        <w:t xml:space="preserve">Recently received the </w:t>
      </w:r>
      <w:r w:rsidR="00214A7A">
        <w:rPr>
          <w:rFonts w:ascii="Arial" w:hAnsi="Arial" w:cs="Arial"/>
          <w:color w:val="000000"/>
          <w:sz w:val="20"/>
          <w:szCs w:val="20"/>
        </w:rPr>
        <w:t>Top 100 Metropolitan Statistical Area (MSA) review with 2014 Census updates</w:t>
      </w:r>
      <w:r>
        <w:rPr>
          <w:rFonts w:ascii="Arial" w:hAnsi="Arial" w:cs="Arial"/>
          <w:color w:val="000000"/>
          <w:sz w:val="20"/>
          <w:szCs w:val="20"/>
        </w:rPr>
        <w:t xml:space="preserve">.  After reviewing the information it was determined that there were no Top 100 </w:t>
      </w:r>
      <w:r w:rsidR="00551713">
        <w:rPr>
          <w:rFonts w:ascii="Arial" w:hAnsi="Arial" w:cs="Arial"/>
          <w:color w:val="000000"/>
          <w:sz w:val="20"/>
          <w:szCs w:val="20"/>
        </w:rPr>
        <w:t>M</w:t>
      </w:r>
      <w:r>
        <w:rPr>
          <w:rFonts w:ascii="Arial" w:hAnsi="Arial" w:cs="Arial"/>
          <w:color w:val="000000"/>
          <w:sz w:val="20"/>
          <w:szCs w:val="20"/>
        </w:rPr>
        <w:t>SA changes with the 2014 census information.</w:t>
      </w:r>
    </w:p>
    <w:p w:rsidR="00240291" w:rsidRDefault="00240291" w:rsidP="00240291">
      <w:pPr>
        <w:pStyle w:val="ListParagraph"/>
        <w:ind w:left="360"/>
        <w:rPr>
          <w:rFonts w:ascii="Arial" w:hAnsi="Arial" w:cs="Arial"/>
          <w:color w:val="000000"/>
          <w:sz w:val="20"/>
          <w:szCs w:val="20"/>
        </w:rPr>
      </w:pPr>
    </w:p>
    <w:p w:rsidR="00214A7A" w:rsidRDefault="00240291" w:rsidP="00214A7A">
      <w:pPr>
        <w:pStyle w:val="ListParagraph"/>
        <w:numPr>
          <w:ilvl w:val="0"/>
          <w:numId w:val="4"/>
        </w:numPr>
        <w:rPr>
          <w:rFonts w:ascii="Arial" w:hAnsi="Arial" w:cs="Arial"/>
          <w:color w:val="000000"/>
          <w:sz w:val="20"/>
          <w:szCs w:val="20"/>
        </w:rPr>
      </w:pPr>
      <w:r>
        <w:rPr>
          <w:rFonts w:ascii="Arial" w:hAnsi="Arial" w:cs="Arial"/>
          <w:color w:val="000000"/>
          <w:sz w:val="20"/>
          <w:szCs w:val="20"/>
        </w:rPr>
        <w:t>Following are the mid-year highlights for the PA</w:t>
      </w:r>
      <w:r w:rsidR="00D920F4">
        <w:rPr>
          <w:rFonts w:ascii="Arial" w:hAnsi="Arial" w:cs="Arial"/>
          <w:color w:val="000000"/>
          <w:sz w:val="20"/>
          <w:szCs w:val="20"/>
        </w:rPr>
        <w:t>.</w:t>
      </w:r>
    </w:p>
    <w:p w:rsidR="00D920F4" w:rsidRPr="00D920F4" w:rsidRDefault="00D920F4" w:rsidP="00D920F4">
      <w:pPr>
        <w:pStyle w:val="ListParagraph"/>
        <w:rPr>
          <w:rFonts w:ascii="Arial" w:hAnsi="Arial" w:cs="Arial"/>
          <w:color w:val="000000"/>
          <w:sz w:val="20"/>
          <w:szCs w:val="20"/>
        </w:rPr>
      </w:pPr>
    </w:p>
    <w:bookmarkStart w:id="15" w:name="_MON_1501660124"/>
    <w:bookmarkEnd w:id="15"/>
    <w:p w:rsidR="00D920F4" w:rsidRDefault="00D920F4" w:rsidP="00D920F4">
      <w:pPr>
        <w:pStyle w:val="ListParagraph"/>
        <w:ind w:left="360"/>
        <w:rPr>
          <w:rFonts w:ascii="Arial" w:hAnsi="Arial" w:cs="Arial"/>
          <w:color w:val="000000"/>
          <w:sz w:val="20"/>
          <w:szCs w:val="20"/>
        </w:rPr>
      </w:pPr>
      <w:r>
        <w:rPr>
          <w:rFonts w:ascii="Arial" w:hAnsi="Arial" w:cs="Arial"/>
          <w:color w:val="000000"/>
          <w:sz w:val="20"/>
          <w:szCs w:val="20"/>
        </w:rPr>
        <w:object w:dxaOrig="1551" w:dyaOrig="1004">
          <v:shape id="_x0000_i1027" type="#_x0000_t75" style="width:77pt;height:50.1pt" o:ole="">
            <v:imagedata r:id="rId12" o:title=""/>
          </v:shape>
          <o:OLEObject Type="Embed" ProgID="Word.Document.12" ShapeID="_x0000_i1027" DrawAspect="Icon" ObjectID="_1504508756" r:id="rId13">
            <o:FieldCodes>\s</o:FieldCodes>
          </o:OLEObject>
        </w:object>
      </w:r>
    </w:p>
    <w:p w:rsidR="00D920F4" w:rsidRPr="00D920F4" w:rsidRDefault="00D920F4" w:rsidP="00D920F4">
      <w:pPr>
        <w:pStyle w:val="ListParagraph"/>
        <w:rPr>
          <w:rFonts w:ascii="Arial" w:hAnsi="Arial" w:cs="Arial"/>
          <w:color w:val="000000"/>
          <w:sz w:val="20"/>
          <w:szCs w:val="20"/>
        </w:rPr>
      </w:pPr>
    </w:p>
    <w:p w:rsidR="00D920F4" w:rsidRDefault="00D920F4" w:rsidP="00214A7A">
      <w:pPr>
        <w:pStyle w:val="ListParagraph"/>
        <w:numPr>
          <w:ilvl w:val="0"/>
          <w:numId w:val="4"/>
        </w:numPr>
        <w:rPr>
          <w:rFonts w:ascii="Arial" w:hAnsi="Arial" w:cs="Arial"/>
          <w:color w:val="000000"/>
          <w:sz w:val="20"/>
          <w:szCs w:val="20"/>
        </w:rPr>
      </w:pPr>
      <w:r>
        <w:rPr>
          <w:rFonts w:ascii="Arial" w:hAnsi="Arial" w:cs="Arial"/>
          <w:color w:val="000000"/>
          <w:sz w:val="20"/>
          <w:szCs w:val="20"/>
        </w:rPr>
        <w:t>The PA and NANPA met with the FCC on the process implementation of the VoIP order issued by the FCC.</w:t>
      </w:r>
    </w:p>
    <w:p w:rsidR="00DE04E2" w:rsidRDefault="00DE04E2" w:rsidP="008C7568">
      <w:pPr>
        <w:pStyle w:val="ListParagraph"/>
        <w:ind w:left="0"/>
        <w:rPr>
          <w:rFonts w:ascii="Arial" w:hAnsi="Arial" w:cs="Arial"/>
          <w:b/>
          <w:color w:val="000000"/>
          <w:sz w:val="20"/>
          <w:szCs w:val="20"/>
          <w:u w:val="single"/>
        </w:rPr>
      </w:pPr>
    </w:p>
    <w:p w:rsidR="00B72548" w:rsidRPr="008C7568" w:rsidRDefault="00012DDE"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8C7568" w:rsidRDefault="008C7568" w:rsidP="00060D62">
      <w:pPr>
        <w:rPr>
          <w:rFonts w:ascii="Arial" w:hAnsi="Arial" w:cs="Arial"/>
          <w:sz w:val="20"/>
          <w:szCs w:val="20"/>
        </w:rPr>
      </w:pPr>
    </w:p>
    <w:p w:rsidR="00DB27D6" w:rsidRDefault="00DB27D6"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6"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6"/>
      <w:r w:rsidRPr="006C17F0">
        <w:rPr>
          <w:rFonts w:ascii="Arial" w:hAnsi="Arial" w:cs="Arial"/>
          <w:color w:val="000000"/>
          <w:sz w:val="20"/>
          <w:szCs w:val="20"/>
          <w:u w:val="single"/>
        </w:rPr>
        <w:t xml:space="preserve"> </w:t>
      </w:r>
    </w:p>
    <w:p w:rsidR="00AB5D6B" w:rsidRDefault="002A6CEB" w:rsidP="00AB5D6B">
      <w:pPr>
        <w:numPr>
          <w:ilvl w:val="0"/>
          <w:numId w:val="3"/>
        </w:numPr>
        <w:rPr>
          <w:rFonts w:ascii="Arial" w:hAnsi="Arial" w:cs="Arial"/>
          <w:sz w:val="20"/>
          <w:szCs w:val="20"/>
        </w:rPr>
      </w:pPr>
      <w:r>
        <w:rPr>
          <w:rFonts w:ascii="Arial" w:hAnsi="Arial" w:cs="Arial"/>
          <w:sz w:val="20"/>
          <w:szCs w:val="20"/>
        </w:rPr>
        <w:t xml:space="preserve">August </w:t>
      </w:r>
      <w:r w:rsidR="00240291">
        <w:rPr>
          <w:rFonts w:ascii="Arial" w:hAnsi="Arial" w:cs="Arial"/>
          <w:sz w:val="20"/>
          <w:szCs w:val="20"/>
        </w:rPr>
        <w:t>13</w:t>
      </w:r>
      <w:r w:rsidR="006C7B45">
        <w:rPr>
          <w:rFonts w:ascii="Arial" w:hAnsi="Arial" w:cs="Arial"/>
          <w:sz w:val="20"/>
          <w:szCs w:val="20"/>
        </w:rPr>
        <w:t>,</w:t>
      </w:r>
      <w:r w:rsidR="00EA3B81" w:rsidRPr="00E62227">
        <w:rPr>
          <w:rFonts w:ascii="Arial" w:hAnsi="Arial" w:cs="Arial"/>
          <w:sz w:val="20"/>
          <w:szCs w:val="20"/>
        </w:rPr>
        <w:t xml:space="preserve"> 1:00pm ET</w:t>
      </w:r>
      <w:r w:rsidR="00DC1CA1" w:rsidRPr="00E62227">
        <w:rPr>
          <w:rFonts w:ascii="Arial" w:hAnsi="Arial" w:cs="Arial"/>
          <w:sz w:val="20"/>
          <w:szCs w:val="20"/>
        </w:rPr>
        <w:t xml:space="preserve"> </w:t>
      </w: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sectPr w:rsidR="00E53CC9" w:rsidSect="00144DC5">
      <w:headerReference w:type="default" r:id="rId14"/>
      <w:footerReference w:type="default" r:id="rId15"/>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83" w:rsidRDefault="00DC6183">
      <w:r>
        <w:separator/>
      </w:r>
    </w:p>
  </w:endnote>
  <w:endnote w:type="continuationSeparator" w:id="0">
    <w:p w:rsidR="00DC6183" w:rsidRDefault="00DC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7C5C4E">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7C5C4E">
      <w:rPr>
        <w:rFonts w:ascii="Arial" w:hAnsi="Arial" w:cs="Arial"/>
        <w:noProof/>
        <w:sz w:val="20"/>
        <w:szCs w:val="20"/>
      </w:rPr>
      <w:t>5</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83" w:rsidRDefault="00DC6183">
      <w:r>
        <w:separator/>
      </w:r>
    </w:p>
  </w:footnote>
  <w:footnote w:type="continuationSeparator" w:id="0">
    <w:p w:rsidR="00DC6183" w:rsidRDefault="00DC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3C2D64" w:rsidP="00FA5398">
    <w:pPr>
      <w:jc w:val="center"/>
      <w:rPr>
        <w:rStyle w:val="Strong"/>
        <w:rFonts w:ascii="Arial" w:hAnsi="Arial" w:cs="Arial"/>
        <w:sz w:val="20"/>
        <w:szCs w:val="20"/>
      </w:rPr>
    </w:pPr>
    <w:r>
      <w:rPr>
        <w:rStyle w:val="Strong"/>
        <w:rFonts w:ascii="Arial" w:hAnsi="Arial" w:cs="Arial"/>
        <w:sz w:val="20"/>
        <w:szCs w:val="20"/>
      </w:rPr>
      <w:t>July 17</w:t>
    </w:r>
    <w:r w:rsidR="000A4CCD">
      <w:rPr>
        <w:rStyle w:val="Strong"/>
        <w:rFonts w:ascii="Arial" w:hAnsi="Arial" w:cs="Arial"/>
        <w:sz w:val="20"/>
        <w:szCs w:val="20"/>
      </w:rPr>
      <w:t>, 2015</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5D3F"/>
    <w:multiLevelType w:val="hybridMultilevel"/>
    <w:tmpl w:val="C5EC7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52149F"/>
    <w:multiLevelType w:val="hybridMultilevel"/>
    <w:tmpl w:val="C046D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AF23C9"/>
    <w:multiLevelType w:val="hybridMultilevel"/>
    <w:tmpl w:val="51DE12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FFFFFFFF">
      <w:start w:val="1"/>
      <w:numFmt w:val="upperLetter"/>
      <w:lvlText w:val="%3."/>
      <w:lvlJc w:val="left"/>
      <w:pPr>
        <w:tabs>
          <w:tab w:val="num" w:pos="2160"/>
        </w:tabs>
      </w:p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4" w15:restartNumberingAfterBreak="0">
    <w:nsid w:val="6D3B3C6C"/>
    <w:multiLevelType w:val="hybridMultilevel"/>
    <w:tmpl w:val="DE5ADE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4E"/>
    <w:rsid w:val="000001BA"/>
    <w:rsid w:val="00000917"/>
    <w:rsid w:val="00000EFC"/>
    <w:rsid w:val="000017DF"/>
    <w:rsid w:val="000031ED"/>
    <w:rsid w:val="00004E88"/>
    <w:rsid w:val="00006ED3"/>
    <w:rsid w:val="00006ED4"/>
    <w:rsid w:val="0000774B"/>
    <w:rsid w:val="00007CEF"/>
    <w:rsid w:val="00010049"/>
    <w:rsid w:val="00011409"/>
    <w:rsid w:val="0001212C"/>
    <w:rsid w:val="00012DDE"/>
    <w:rsid w:val="000142D9"/>
    <w:rsid w:val="00015B89"/>
    <w:rsid w:val="00015CD0"/>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FF4"/>
    <w:rsid w:val="00037244"/>
    <w:rsid w:val="0003728E"/>
    <w:rsid w:val="00040161"/>
    <w:rsid w:val="00040396"/>
    <w:rsid w:val="000413CA"/>
    <w:rsid w:val="00042978"/>
    <w:rsid w:val="00042E0E"/>
    <w:rsid w:val="000438DD"/>
    <w:rsid w:val="0004394A"/>
    <w:rsid w:val="0004464E"/>
    <w:rsid w:val="000446C3"/>
    <w:rsid w:val="00045524"/>
    <w:rsid w:val="000458D4"/>
    <w:rsid w:val="00045EFE"/>
    <w:rsid w:val="00045F57"/>
    <w:rsid w:val="0004636E"/>
    <w:rsid w:val="000467D8"/>
    <w:rsid w:val="000504E6"/>
    <w:rsid w:val="00050CFB"/>
    <w:rsid w:val="00051510"/>
    <w:rsid w:val="00051954"/>
    <w:rsid w:val="00051EA9"/>
    <w:rsid w:val="00052A28"/>
    <w:rsid w:val="00052A8A"/>
    <w:rsid w:val="00052DFE"/>
    <w:rsid w:val="00053B2A"/>
    <w:rsid w:val="00054EDB"/>
    <w:rsid w:val="000559A4"/>
    <w:rsid w:val="00055E86"/>
    <w:rsid w:val="00056184"/>
    <w:rsid w:val="000566C2"/>
    <w:rsid w:val="0005677E"/>
    <w:rsid w:val="000571AE"/>
    <w:rsid w:val="000579AD"/>
    <w:rsid w:val="0006084B"/>
    <w:rsid w:val="000608CC"/>
    <w:rsid w:val="00060D62"/>
    <w:rsid w:val="00062A4C"/>
    <w:rsid w:val="00062D1B"/>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2657"/>
    <w:rsid w:val="000A27A6"/>
    <w:rsid w:val="000A322A"/>
    <w:rsid w:val="000A4CCD"/>
    <w:rsid w:val="000A6AD6"/>
    <w:rsid w:val="000A76C5"/>
    <w:rsid w:val="000B0A2A"/>
    <w:rsid w:val="000B1544"/>
    <w:rsid w:val="000B1818"/>
    <w:rsid w:val="000B39E1"/>
    <w:rsid w:val="000B4425"/>
    <w:rsid w:val="000B54F4"/>
    <w:rsid w:val="000B6B3A"/>
    <w:rsid w:val="000C0CA2"/>
    <w:rsid w:val="000C19D2"/>
    <w:rsid w:val="000C1AD4"/>
    <w:rsid w:val="000C34CC"/>
    <w:rsid w:val="000C3592"/>
    <w:rsid w:val="000C3E36"/>
    <w:rsid w:val="000C4450"/>
    <w:rsid w:val="000C4BE1"/>
    <w:rsid w:val="000C5A67"/>
    <w:rsid w:val="000C6502"/>
    <w:rsid w:val="000C68F1"/>
    <w:rsid w:val="000C7409"/>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53A7"/>
    <w:rsid w:val="000F5A37"/>
    <w:rsid w:val="000F5E54"/>
    <w:rsid w:val="000F6E5A"/>
    <w:rsid w:val="000F75C7"/>
    <w:rsid w:val="00100B19"/>
    <w:rsid w:val="001033A2"/>
    <w:rsid w:val="00103485"/>
    <w:rsid w:val="0010589F"/>
    <w:rsid w:val="00105AA5"/>
    <w:rsid w:val="00105F6C"/>
    <w:rsid w:val="00105F98"/>
    <w:rsid w:val="0010614C"/>
    <w:rsid w:val="001063DC"/>
    <w:rsid w:val="00107DFA"/>
    <w:rsid w:val="001110FD"/>
    <w:rsid w:val="0011138B"/>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29B2"/>
    <w:rsid w:val="001346CC"/>
    <w:rsid w:val="0013493F"/>
    <w:rsid w:val="0013518E"/>
    <w:rsid w:val="0013766A"/>
    <w:rsid w:val="00137C2A"/>
    <w:rsid w:val="001410B3"/>
    <w:rsid w:val="00141BB6"/>
    <w:rsid w:val="0014216D"/>
    <w:rsid w:val="00142582"/>
    <w:rsid w:val="00144316"/>
    <w:rsid w:val="00144DC5"/>
    <w:rsid w:val="001455BD"/>
    <w:rsid w:val="0014600E"/>
    <w:rsid w:val="0014699E"/>
    <w:rsid w:val="00151355"/>
    <w:rsid w:val="00151E35"/>
    <w:rsid w:val="001526FF"/>
    <w:rsid w:val="00153792"/>
    <w:rsid w:val="001541FB"/>
    <w:rsid w:val="0015442C"/>
    <w:rsid w:val="00155CEB"/>
    <w:rsid w:val="00157A97"/>
    <w:rsid w:val="00161435"/>
    <w:rsid w:val="00162E15"/>
    <w:rsid w:val="00164C38"/>
    <w:rsid w:val="00164E1E"/>
    <w:rsid w:val="00165C76"/>
    <w:rsid w:val="00166B01"/>
    <w:rsid w:val="00167086"/>
    <w:rsid w:val="00172C9D"/>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87E02"/>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B1037"/>
    <w:rsid w:val="001B2965"/>
    <w:rsid w:val="001B2CA0"/>
    <w:rsid w:val="001B30F2"/>
    <w:rsid w:val="001B3E06"/>
    <w:rsid w:val="001B7C46"/>
    <w:rsid w:val="001C076D"/>
    <w:rsid w:val="001C0B7C"/>
    <w:rsid w:val="001C2086"/>
    <w:rsid w:val="001C50B3"/>
    <w:rsid w:val="001C5B0A"/>
    <w:rsid w:val="001C629F"/>
    <w:rsid w:val="001C759C"/>
    <w:rsid w:val="001C7E64"/>
    <w:rsid w:val="001D2901"/>
    <w:rsid w:val="001D36B0"/>
    <w:rsid w:val="001D40BF"/>
    <w:rsid w:val="001D487D"/>
    <w:rsid w:val="001D513E"/>
    <w:rsid w:val="001D54EF"/>
    <w:rsid w:val="001D66A1"/>
    <w:rsid w:val="001D715D"/>
    <w:rsid w:val="001E2843"/>
    <w:rsid w:val="001E2F47"/>
    <w:rsid w:val="001E3321"/>
    <w:rsid w:val="001E3C6E"/>
    <w:rsid w:val="001E4184"/>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37B5"/>
    <w:rsid w:val="00205390"/>
    <w:rsid w:val="00205E14"/>
    <w:rsid w:val="00206BFB"/>
    <w:rsid w:val="00207512"/>
    <w:rsid w:val="002104AF"/>
    <w:rsid w:val="0021134B"/>
    <w:rsid w:val="002117B8"/>
    <w:rsid w:val="00211A8F"/>
    <w:rsid w:val="0021240D"/>
    <w:rsid w:val="002129F6"/>
    <w:rsid w:val="00213D2C"/>
    <w:rsid w:val="00214A7A"/>
    <w:rsid w:val="00215663"/>
    <w:rsid w:val="002162D6"/>
    <w:rsid w:val="00216760"/>
    <w:rsid w:val="002174BD"/>
    <w:rsid w:val="00220B79"/>
    <w:rsid w:val="00220D53"/>
    <w:rsid w:val="00221380"/>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30403"/>
    <w:rsid w:val="00230E7B"/>
    <w:rsid w:val="00231985"/>
    <w:rsid w:val="0023292B"/>
    <w:rsid w:val="00234F81"/>
    <w:rsid w:val="0023520D"/>
    <w:rsid w:val="00240291"/>
    <w:rsid w:val="00241347"/>
    <w:rsid w:val="00241925"/>
    <w:rsid w:val="00241D21"/>
    <w:rsid w:val="0024259F"/>
    <w:rsid w:val="00242709"/>
    <w:rsid w:val="00242C8A"/>
    <w:rsid w:val="00243C44"/>
    <w:rsid w:val="00244EC8"/>
    <w:rsid w:val="00245C32"/>
    <w:rsid w:val="002462B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2C87"/>
    <w:rsid w:val="002731A0"/>
    <w:rsid w:val="00273279"/>
    <w:rsid w:val="00273F91"/>
    <w:rsid w:val="00274BAE"/>
    <w:rsid w:val="002801EB"/>
    <w:rsid w:val="0028088B"/>
    <w:rsid w:val="00281919"/>
    <w:rsid w:val="00281C13"/>
    <w:rsid w:val="002829A8"/>
    <w:rsid w:val="002839D4"/>
    <w:rsid w:val="00283C34"/>
    <w:rsid w:val="00283E7C"/>
    <w:rsid w:val="00284DBD"/>
    <w:rsid w:val="002850EF"/>
    <w:rsid w:val="002856E9"/>
    <w:rsid w:val="00285D3B"/>
    <w:rsid w:val="002861A6"/>
    <w:rsid w:val="0028674B"/>
    <w:rsid w:val="00286DC0"/>
    <w:rsid w:val="0029054B"/>
    <w:rsid w:val="00290E86"/>
    <w:rsid w:val="00291944"/>
    <w:rsid w:val="00291BF3"/>
    <w:rsid w:val="00291C37"/>
    <w:rsid w:val="00291F1C"/>
    <w:rsid w:val="0029200E"/>
    <w:rsid w:val="0029299D"/>
    <w:rsid w:val="0029384A"/>
    <w:rsid w:val="00293A86"/>
    <w:rsid w:val="00293BD7"/>
    <w:rsid w:val="00294A83"/>
    <w:rsid w:val="0029565B"/>
    <w:rsid w:val="002962E1"/>
    <w:rsid w:val="002973BF"/>
    <w:rsid w:val="002A0221"/>
    <w:rsid w:val="002A0B10"/>
    <w:rsid w:val="002A15A2"/>
    <w:rsid w:val="002A2D46"/>
    <w:rsid w:val="002A364E"/>
    <w:rsid w:val="002A3A24"/>
    <w:rsid w:val="002A48CE"/>
    <w:rsid w:val="002A5461"/>
    <w:rsid w:val="002A5E0E"/>
    <w:rsid w:val="002A5F65"/>
    <w:rsid w:val="002A652B"/>
    <w:rsid w:val="002A6CEB"/>
    <w:rsid w:val="002A70DA"/>
    <w:rsid w:val="002B05BD"/>
    <w:rsid w:val="002B0881"/>
    <w:rsid w:val="002B1F96"/>
    <w:rsid w:val="002B3E1C"/>
    <w:rsid w:val="002B4206"/>
    <w:rsid w:val="002B461F"/>
    <w:rsid w:val="002B488E"/>
    <w:rsid w:val="002B4A8B"/>
    <w:rsid w:val="002B4E68"/>
    <w:rsid w:val="002B5D55"/>
    <w:rsid w:val="002B61CF"/>
    <w:rsid w:val="002B66AC"/>
    <w:rsid w:val="002B6955"/>
    <w:rsid w:val="002B764E"/>
    <w:rsid w:val="002B773A"/>
    <w:rsid w:val="002B7844"/>
    <w:rsid w:val="002B7B06"/>
    <w:rsid w:val="002B7E27"/>
    <w:rsid w:val="002C08ED"/>
    <w:rsid w:val="002C1DAB"/>
    <w:rsid w:val="002C2A53"/>
    <w:rsid w:val="002C3C0D"/>
    <w:rsid w:val="002C4778"/>
    <w:rsid w:val="002C5470"/>
    <w:rsid w:val="002C5AC7"/>
    <w:rsid w:val="002C6D1D"/>
    <w:rsid w:val="002D016F"/>
    <w:rsid w:val="002D0ABD"/>
    <w:rsid w:val="002D0EB6"/>
    <w:rsid w:val="002D1949"/>
    <w:rsid w:val="002D1DD5"/>
    <w:rsid w:val="002D1FBB"/>
    <w:rsid w:val="002D21D8"/>
    <w:rsid w:val="002D2E2E"/>
    <w:rsid w:val="002D3284"/>
    <w:rsid w:val="002D3CA9"/>
    <w:rsid w:val="002D4454"/>
    <w:rsid w:val="002D5523"/>
    <w:rsid w:val="002D55FB"/>
    <w:rsid w:val="002D6BE1"/>
    <w:rsid w:val="002D747E"/>
    <w:rsid w:val="002E0E72"/>
    <w:rsid w:val="002E105A"/>
    <w:rsid w:val="002E15CB"/>
    <w:rsid w:val="002E1EFF"/>
    <w:rsid w:val="002E33C4"/>
    <w:rsid w:val="002E3404"/>
    <w:rsid w:val="002E4E0C"/>
    <w:rsid w:val="002E593D"/>
    <w:rsid w:val="002E5C98"/>
    <w:rsid w:val="002E63D9"/>
    <w:rsid w:val="002E6AB1"/>
    <w:rsid w:val="002E7FAD"/>
    <w:rsid w:val="002F0F28"/>
    <w:rsid w:val="002F1685"/>
    <w:rsid w:val="002F1835"/>
    <w:rsid w:val="002F1EDA"/>
    <w:rsid w:val="002F2B3C"/>
    <w:rsid w:val="002F367E"/>
    <w:rsid w:val="002F3C7E"/>
    <w:rsid w:val="002F51C3"/>
    <w:rsid w:val="002F69A6"/>
    <w:rsid w:val="002F6E7E"/>
    <w:rsid w:val="002F7DCB"/>
    <w:rsid w:val="00301367"/>
    <w:rsid w:val="00302424"/>
    <w:rsid w:val="0030249E"/>
    <w:rsid w:val="00303205"/>
    <w:rsid w:val="00303AE0"/>
    <w:rsid w:val="00303BAF"/>
    <w:rsid w:val="00304057"/>
    <w:rsid w:val="0030462B"/>
    <w:rsid w:val="00304718"/>
    <w:rsid w:val="003055B6"/>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1DB9"/>
    <w:rsid w:val="00322933"/>
    <w:rsid w:val="00322D4A"/>
    <w:rsid w:val="003256B3"/>
    <w:rsid w:val="00330C49"/>
    <w:rsid w:val="0033229E"/>
    <w:rsid w:val="0033246D"/>
    <w:rsid w:val="00332946"/>
    <w:rsid w:val="00332BFF"/>
    <w:rsid w:val="00333273"/>
    <w:rsid w:val="0033468C"/>
    <w:rsid w:val="00335040"/>
    <w:rsid w:val="003353D1"/>
    <w:rsid w:val="003370C9"/>
    <w:rsid w:val="00337A20"/>
    <w:rsid w:val="00337B7D"/>
    <w:rsid w:val="00340923"/>
    <w:rsid w:val="00341367"/>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2024"/>
    <w:rsid w:val="00363124"/>
    <w:rsid w:val="003633C3"/>
    <w:rsid w:val="003639F7"/>
    <w:rsid w:val="00363FDD"/>
    <w:rsid w:val="0036402B"/>
    <w:rsid w:val="00366257"/>
    <w:rsid w:val="0036641D"/>
    <w:rsid w:val="00366A1F"/>
    <w:rsid w:val="003673E1"/>
    <w:rsid w:val="003715A3"/>
    <w:rsid w:val="00372774"/>
    <w:rsid w:val="00374D1A"/>
    <w:rsid w:val="00376B1A"/>
    <w:rsid w:val="00377B3B"/>
    <w:rsid w:val="0038056C"/>
    <w:rsid w:val="00380925"/>
    <w:rsid w:val="00380E83"/>
    <w:rsid w:val="00380E93"/>
    <w:rsid w:val="00381C9B"/>
    <w:rsid w:val="00381CFC"/>
    <w:rsid w:val="00382845"/>
    <w:rsid w:val="00383D56"/>
    <w:rsid w:val="00384A01"/>
    <w:rsid w:val="00384A63"/>
    <w:rsid w:val="00384E6A"/>
    <w:rsid w:val="00385DBD"/>
    <w:rsid w:val="00385E1C"/>
    <w:rsid w:val="003865AA"/>
    <w:rsid w:val="00386A08"/>
    <w:rsid w:val="00387652"/>
    <w:rsid w:val="0038774A"/>
    <w:rsid w:val="0038794C"/>
    <w:rsid w:val="00390B88"/>
    <w:rsid w:val="00390F69"/>
    <w:rsid w:val="00391030"/>
    <w:rsid w:val="003914D0"/>
    <w:rsid w:val="0039150D"/>
    <w:rsid w:val="00391BE7"/>
    <w:rsid w:val="00392820"/>
    <w:rsid w:val="003944E3"/>
    <w:rsid w:val="003949E8"/>
    <w:rsid w:val="00395BE8"/>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D23"/>
    <w:rsid w:val="003B3F1A"/>
    <w:rsid w:val="003B5119"/>
    <w:rsid w:val="003B65BF"/>
    <w:rsid w:val="003B67DF"/>
    <w:rsid w:val="003B6E12"/>
    <w:rsid w:val="003B7C72"/>
    <w:rsid w:val="003C117B"/>
    <w:rsid w:val="003C1251"/>
    <w:rsid w:val="003C1465"/>
    <w:rsid w:val="003C1E03"/>
    <w:rsid w:val="003C233D"/>
    <w:rsid w:val="003C2D64"/>
    <w:rsid w:val="003C310A"/>
    <w:rsid w:val="003C3390"/>
    <w:rsid w:val="003C3C7B"/>
    <w:rsid w:val="003C426E"/>
    <w:rsid w:val="003C4340"/>
    <w:rsid w:val="003C43CF"/>
    <w:rsid w:val="003C49FA"/>
    <w:rsid w:val="003C4BE2"/>
    <w:rsid w:val="003C4EAB"/>
    <w:rsid w:val="003C50CC"/>
    <w:rsid w:val="003C5397"/>
    <w:rsid w:val="003C63A5"/>
    <w:rsid w:val="003C67C8"/>
    <w:rsid w:val="003C6B78"/>
    <w:rsid w:val="003C72CB"/>
    <w:rsid w:val="003C75DC"/>
    <w:rsid w:val="003D0787"/>
    <w:rsid w:val="003D09DA"/>
    <w:rsid w:val="003D0A04"/>
    <w:rsid w:val="003D1B8D"/>
    <w:rsid w:val="003D1E30"/>
    <w:rsid w:val="003D1EE4"/>
    <w:rsid w:val="003D2040"/>
    <w:rsid w:val="003D321B"/>
    <w:rsid w:val="003D3590"/>
    <w:rsid w:val="003D4506"/>
    <w:rsid w:val="003D47BF"/>
    <w:rsid w:val="003D530E"/>
    <w:rsid w:val="003D5B03"/>
    <w:rsid w:val="003D66C7"/>
    <w:rsid w:val="003D6DB0"/>
    <w:rsid w:val="003D6E1A"/>
    <w:rsid w:val="003D712A"/>
    <w:rsid w:val="003D7ADC"/>
    <w:rsid w:val="003E036D"/>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CA6"/>
    <w:rsid w:val="00410D4B"/>
    <w:rsid w:val="00410E02"/>
    <w:rsid w:val="004125C4"/>
    <w:rsid w:val="00413D94"/>
    <w:rsid w:val="004151F6"/>
    <w:rsid w:val="004152C3"/>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71E4"/>
    <w:rsid w:val="0044008E"/>
    <w:rsid w:val="00440152"/>
    <w:rsid w:val="004404F6"/>
    <w:rsid w:val="00440869"/>
    <w:rsid w:val="004413DD"/>
    <w:rsid w:val="00441E4B"/>
    <w:rsid w:val="00442A55"/>
    <w:rsid w:val="00442EC2"/>
    <w:rsid w:val="0044462D"/>
    <w:rsid w:val="0044529F"/>
    <w:rsid w:val="00445828"/>
    <w:rsid w:val="004464B4"/>
    <w:rsid w:val="00446843"/>
    <w:rsid w:val="00447B10"/>
    <w:rsid w:val="0045165A"/>
    <w:rsid w:val="00451B4F"/>
    <w:rsid w:val="004524A9"/>
    <w:rsid w:val="00452C5F"/>
    <w:rsid w:val="00454787"/>
    <w:rsid w:val="00454C99"/>
    <w:rsid w:val="004568D8"/>
    <w:rsid w:val="0045700D"/>
    <w:rsid w:val="0045736C"/>
    <w:rsid w:val="00457725"/>
    <w:rsid w:val="00460251"/>
    <w:rsid w:val="004613AA"/>
    <w:rsid w:val="00461BC8"/>
    <w:rsid w:val="00462A7A"/>
    <w:rsid w:val="004650A6"/>
    <w:rsid w:val="00466783"/>
    <w:rsid w:val="00466835"/>
    <w:rsid w:val="00467789"/>
    <w:rsid w:val="00467D53"/>
    <w:rsid w:val="00470E00"/>
    <w:rsid w:val="00470E05"/>
    <w:rsid w:val="0047197A"/>
    <w:rsid w:val="00471B61"/>
    <w:rsid w:val="004733E1"/>
    <w:rsid w:val="00473E7F"/>
    <w:rsid w:val="00473F2B"/>
    <w:rsid w:val="00474039"/>
    <w:rsid w:val="004742D1"/>
    <w:rsid w:val="0047512F"/>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496F"/>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993"/>
    <w:rsid w:val="004D6C44"/>
    <w:rsid w:val="004D72F8"/>
    <w:rsid w:val="004E19C4"/>
    <w:rsid w:val="004E25CF"/>
    <w:rsid w:val="004E38DE"/>
    <w:rsid w:val="004E4303"/>
    <w:rsid w:val="004E4688"/>
    <w:rsid w:val="004E480E"/>
    <w:rsid w:val="004E5856"/>
    <w:rsid w:val="004E60C9"/>
    <w:rsid w:val="004E7715"/>
    <w:rsid w:val="004E7DBF"/>
    <w:rsid w:val="004F044A"/>
    <w:rsid w:val="004F0CFE"/>
    <w:rsid w:val="004F11D3"/>
    <w:rsid w:val="004F211A"/>
    <w:rsid w:val="004F2323"/>
    <w:rsid w:val="004F357D"/>
    <w:rsid w:val="004F38E7"/>
    <w:rsid w:val="004F3C6A"/>
    <w:rsid w:val="004F3E27"/>
    <w:rsid w:val="004F46F6"/>
    <w:rsid w:val="004F5496"/>
    <w:rsid w:val="004F5535"/>
    <w:rsid w:val="004F667A"/>
    <w:rsid w:val="004F774B"/>
    <w:rsid w:val="004F79EC"/>
    <w:rsid w:val="005021D0"/>
    <w:rsid w:val="0050331E"/>
    <w:rsid w:val="0050357D"/>
    <w:rsid w:val="00503DF3"/>
    <w:rsid w:val="005045CD"/>
    <w:rsid w:val="005047B9"/>
    <w:rsid w:val="005053CF"/>
    <w:rsid w:val="005053F3"/>
    <w:rsid w:val="005060FD"/>
    <w:rsid w:val="0050661C"/>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30EF5"/>
    <w:rsid w:val="005326F1"/>
    <w:rsid w:val="005345F4"/>
    <w:rsid w:val="005353A7"/>
    <w:rsid w:val="00535F11"/>
    <w:rsid w:val="00536ED2"/>
    <w:rsid w:val="0053712C"/>
    <w:rsid w:val="00537A89"/>
    <w:rsid w:val="00540442"/>
    <w:rsid w:val="00540AD3"/>
    <w:rsid w:val="00543619"/>
    <w:rsid w:val="00544114"/>
    <w:rsid w:val="00547436"/>
    <w:rsid w:val="0054775E"/>
    <w:rsid w:val="00547C08"/>
    <w:rsid w:val="005502C3"/>
    <w:rsid w:val="00550BC9"/>
    <w:rsid w:val="00551713"/>
    <w:rsid w:val="00551C10"/>
    <w:rsid w:val="00552674"/>
    <w:rsid w:val="00553D9C"/>
    <w:rsid w:val="00555CDF"/>
    <w:rsid w:val="00557AB7"/>
    <w:rsid w:val="00557C4E"/>
    <w:rsid w:val="00560EAC"/>
    <w:rsid w:val="00562562"/>
    <w:rsid w:val="0056276B"/>
    <w:rsid w:val="00562B9B"/>
    <w:rsid w:val="00562BB0"/>
    <w:rsid w:val="00565177"/>
    <w:rsid w:val="00565A92"/>
    <w:rsid w:val="00565B7E"/>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49E1"/>
    <w:rsid w:val="005A51DA"/>
    <w:rsid w:val="005A57C1"/>
    <w:rsid w:val="005A584C"/>
    <w:rsid w:val="005A67F2"/>
    <w:rsid w:val="005B0D5E"/>
    <w:rsid w:val="005B0D9B"/>
    <w:rsid w:val="005B1165"/>
    <w:rsid w:val="005B19D8"/>
    <w:rsid w:val="005B2923"/>
    <w:rsid w:val="005B2D58"/>
    <w:rsid w:val="005B3339"/>
    <w:rsid w:val="005B39C5"/>
    <w:rsid w:val="005B4557"/>
    <w:rsid w:val="005B4998"/>
    <w:rsid w:val="005B71EC"/>
    <w:rsid w:val="005B78A7"/>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68A"/>
    <w:rsid w:val="005F48E9"/>
    <w:rsid w:val="005F4E20"/>
    <w:rsid w:val="005F51FB"/>
    <w:rsid w:val="005F56AB"/>
    <w:rsid w:val="005F5719"/>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EFB"/>
    <w:rsid w:val="006330EA"/>
    <w:rsid w:val="00633D54"/>
    <w:rsid w:val="00633F75"/>
    <w:rsid w:val="00635648"/>
    <w:rsid w:val="00636120"/>
    <w:rsid w:val="006367E0"/>
    <w:rsid w:val="00637F93"/>
    <w:rsid w:val="00640C09"/>
    <w:rsid w:val="006410F2"/>
    <w:rsid w:val="0064122D"/>
    <w:rsid w:val="006413E7"/>
    <w:rsid w:val="006416C9"/>
    <w:rsid w:val="00641944"/>
    <w:rsid w:val="00642D5E"/>
    <w:rsid w:val="00642EC8"/>
    <w:rsid w:val="0064338F"/>
    <w:rsid w:val="006441DA"/>
    <w:rsid w:val="00644732"/>
    <w:rsid w:val="00645757"/>
    <w:rsid w:val="00651B6B"/>
    <w:rsid w:val="00653C8A"/>
    <w:rsid w:val="0065510C"/>
    <w:rsid w:val="0065538E"/>
    <w:rsid w:val="00655469"/>
    <w:rsid w:val="00656B67"/>
    <w:rsid w:val="00657F81"/>
    <w:rsid w:val="006613CD"/>
    <w:rsid w:val="00661CDE"/>
    <w:rsid w:val="00662036"/>
    <w:rsid w:val="00662A95"/>
    <w:rsid w:val="0066415F"/>
    <w:rsid w:val="006641E7"/>
    <w:rsid w:val="0066553B"/>
    <w:rsid w:val="006669BC"/>
    <w:rsid w:val="00667380"/>
    <w:rsid w:val="00667AF3"/>
    <w:rsid w:val="006709EB"/>
    <w:rsid w:val="006712E9"/>
    <w:rsid w:val="006714D8"/>
    <w:rsid w:val="00672092"/>
    <w:rsid w:val="00672269"/>
    <w:rsid w:val="00673913"/>
    <w:rsid w:val="00674A12"/>
    <w:rsid w:val="006753C2"/>
    <w:rsid w:val="00676536"/>
    <w:rsid w:val="00676AFB"/>
    <w:rsid w:val="00676F06"/>
    <w:rsid w:val="0067792A"/>
    <w:rsid w:val="006819CB"/>
    <w:rsid w:val="00681A9D"/>
    <w:rsid w:val="0068256E"/>
    <w:rsid w:val="00682A1C"/>
    <w:rsid w:val="006836D5"/>
    <w:rsid w:val="006846E0"/>
    <w:rsid w:val="00684A09"/>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F04B2"/>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D11"/>
    <w:rsid w:val="00703367"/>
    <w:rsid w:val="00703530"/>
    <w:rsid w:val="0070393F"/>
    <w:rsid w:val="007048DC"/>
    <w:rsid w:val="00705629"/>
    <w:rsid w:val="00705AB3"/>
    <w:rsid w:val="00705BAF"/>
    <w:rsid w:val="0070682C"/>
    <w:rsid w:val="007114C2"/>
    <w:rsid w:val="00711765"/>
    <w:rsid w:val="00711922"/>
    <w:rsid w:val="00711F82"/>
    <w:rsid w:val="007122C7"/>
    <w:rsid w:val="00712545"/>
    <w:rsid w:val="00712867"/>
    <w:rsid w:val="00713306"/>
    <w:rsid w:val="00714456"/>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EF5"/>
    <w:rsid w:val="007315D1"/>
    <w:rsid w:val="007321C8"/>
    <w:rsid w:val="007339B3"/>
    <w:rsid w:val="007352BA"/>
    <w:rsid w:val="00735AC7"/>
    <w:rsid w:val="0074111B"/>
    <w:rsid w:val="00741644"/>
    <w:rsid w:val="0074167A"/>
    <w:rsid w:val="00742490"/>
    <w:rsid w:val="00743387"/>
    <w:rsid w:val="0074427A"/>
    <w:rsid w:val="00745C92"/>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3CC3"/>
    <w:rsid w:val="00794A19"/>
    <w:rsid w:val="0079538D"/>
    <w:rsid w:val="00796629"/>
    <w:rsid w:val="00797543"/>
    <w:rsid w:val="00797DDF"/>
    <w:rsid w:val="007A0324"/>
    <w:rsid w:val="007A1298"/>
    <w:rsid w:val="007A2373"/>
    <w:rsid w:val="007A2655"/>
    <w:rsid w:val="007A275C"/>
    <w:rsid w:val="007A3A64"/>
    <w:rsid w:val="007A3DE4"/>
    <w:rsid w:val="007A4A65"/>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49D7"/>
    <w:rsid w:val="007C547B"/>
    <w:rsid w:val="007C5508"/>
    <w:rsid w:val="007C559A"/>
    <w:rsid w:val="007C5C4E"/>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767C"/>
    <w:rsid w:val="007E77B3"/>
    <w:rsid w:val="007F0023"/>
    <w:rsid w:val="007F0052"/>
    <w:rsid w:val="007F074D"/>
    <w:rsid w:val="007F0E74"/>
    <w:rsid w:val="007F0F63"/>
    <w:rsid w:val="007F1F0B"/>
    <w:rsid w:val="007F404B"/>
    <w:rsid w:val="007F504E"/>
    <w:rsid w:val="007F5551"/>
    <w:rsid w:val="007F7EA9"/>
    <w:rsid w:val="0080046D"/>
    <w:rsid w:val="00800F9B"/>
    <w:rsid w:val="00801571"/>
    <w:rsid w:val="008021F1"/>
    <w:rsid w:val="00802340"/>
    <w:rsid w:val="00802ABA"/>
    <w:rsid w:val="00804A17"/>
    <w:rsid w:val="00804D2C"/>
    <w:rsid w:val="00804FE7"/>
    <w:rsid w:val="00805B43"/>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6A3D"/>
    <w:rsid w:val="00826BE8"/>
    <w:rsid w:val="00826FDD"/>
    <w:rsid w:val="008277D7"/>
    <w:rsid w:val="00830065"/>
    <w:rsid w:val="008307BB"/>
    <w:rsid w:val="00830B03"/>
    <w:rsid w:val="008314CF"/>
    <w:rsid w:val="00833887"/>
    <w:rsid w:val="00834437"/>
    <w:rsid w:val="00834809"/>
    <w:rsid w:val="0083571D"/>
    <w:rsid w:val="00835B1A"/>
    <w:rsid w:val="008366C3"/>
    <w:rsid w:val="0083794D"/>
    <w:rsid w:val="00837AEA"/>
    <w:rsid w:val="00837BC6"/>
    <w:rsid w:val="00840F0D"/>
    <w:rsid w:val="00841AC4"/>
    <w:rsid w:val="00841AD3"/>
    <w:rsid w:val="00842428"/>
    <w:rsid w:val="008433BD"/>
    <w:rsid w:val="00843840"/>
    <w:rsid w:val="00845286"/>
    <w:rsid w:val="008457F2"/>
    <w:rsid w:val="008465E9"/>
    <w:rsid w:val="008473CC"/>
    <w:rsid w:val="008512B8"/>
    <w:rsid w:val="00853417"/>
    <w:rsid w:val="008537DD"/>
    <w:rsid w:val="00856574"/>
    <w:rsid w:val="0085660A"/>
    <w:rsid w:val="00856C7B"/>
    <w:rsid w:val="00860DDA"/>
    <w:rsid w:val="008614BC"/>
    <w:rsid w:val="008631F1"/>
    <w:rsid w:val="008635D3"/>
    <w:rsid w:val="0086467F"/>
    <w:rsid w:val="008657A2"/>
    <w:rsid w:val="00865D42"/>
    <w:rsid w:val="00865DDB"/>
    <w:rsid w:val="0086746B"/>
    <w:rsid w:val="008675C1"/>
    <w:rsid w:val="00870067"/>
    <w:rsid w:val="00870801"/>
    <w:rsid w:val="00870A37"/>
    <w:rsid w:val="00871047"/>
    <w:rsid w:val="00871C9D"/>
    <w:rsid w:val="00872E20"/>
    <w:rsid w:val="008730B4"/>
    <w:rsid w:val="00873B64"/>
    <w:rsid w:val="00873FFE"/>
    <w:rsid w:val="0087426A"/>
    <w:rsid w:val="00874588"/>
    <w:rsid w:val="008745AF"/>
    <w:rsid w:val="00875E99"/>
    <w:rsid w:val="00875F87"/>
    <w:rsid w:val="00876872"/>
    <w:rsid w:val="00876F8C"/>
    <w:rsid w:val="00877144"/>
    <w:rsid w:val="00877B49"/>
    <w:rsid w:val="00880B16"/>
    <w:rsid w:val="00880F45"/>
    <w:rsid w:val="0088165B"/>
    <w:rsid w:val="00881E79"/>
    <w:rsid w:val="00882DEA"/>
    <w:rsid w:val="00883FF6"/>
    <w:rsid w:val="00884EBD"/>
    <w:rsid w:val="00885382"/>
    <w:rsid w:val="008855E3"/>
    <w:rsid w:val="00885939"/>
    <w:rsid w:val="00886B98"/>
    <w:rsid w:val="00886BE8"/>
    <w:rsid w:val="00887501"/>
    <w:rsid w:val="00890CBC"/>
    <w:rsid w:val="00890E3E"/>
    <w:rsid w:val="00890EAA"/>
    <w:rsid w:val="00891738"/>
    <w:rsid w:val="00891E56"/>
    <w:rsid w:val="00893E10"/>
    <w:rsid w:val="0089467C"/>
    <w:rsid w:val="00894F24"/>
    <w:rsid w:val="0089513C"/>
    <w:rsid w:val="00897CBA"/>
    <w:rsid w:val="008A0500"/>
    <w:rsid w:val="008A11A9"/>
    <w:rsid w:val="008A1948"/>
    <w:rsid w:val="008A1EDB"/>
    <w:rsid w:val="008A2BEC"/>
    <w:rsid w:val="008A303A"/>
    <w:rsid w:val="008A45CD"/>
    <w:rsid w:val="008A4995"/>
    <w:rsid w:val="008A49B4"/>
    <w:rsid w:val="008A5D35"/>
    <w:rsid w:val="008A64FA"/>
    <w:rsid w:val="008A66B0"/>
    <w:rsid w:val="008A7EB6"/>
    <w:rsid w:val="008B193C"/>
    <w:rsid w:val="008B2DB2"/>
    <w:rsid w:val="008B327D"/>
    <w:rsid w:val="008B39B9"/>
    <w:rsid w:val="008B4A02"/>
    <w:rsid w:val="008B5CBC"/>
    <w:rsid w:val="008B6F25"/>
    <w:rsid w:val="008B70FB"/>
    <w:rsid w:val="008B7A94"/>
    <w:rsid w:val="008C04E0"/>
    <w:rsid w:val="008C0CB0"/>
    <w:rsid w:val="008C0F7F"/>
    <w:rsid w:val="008C19AB"/>
    <w:rsid w:val="008C1A1C"/>
    <w:rsid w:val="008C3FB8"/>
    <w:rsid w:val="008C43F4"/>
    <w:rsid w:val="008C68F5"/>
    <w:rsid w:val="008C71AD"/>
    <w:rsid w:val="008C7568"/>
    <w:rsid w:val="008D09A1"/>
    <w:rsid w:val="008D0C59"/>
    <w:rsid w:val="008D0F6D"/>
    <w:rsid w:val="008D27C0"/>
    <w:rsid w:val="008D3DF5"/>
    <w:rsid w:val="008D3F91"/>
    <w:rsid w:val="008D4A72"/>
    <w:rsid w:val="008D5434"/>
    <w:rsid w:val="008D56EB"/>
    <w:rsid w:val="008D6032"/>
    <w:rsid w:val="008D7F9B"/>
    <w:rsid w:val="008E032F"/>
    <w:rsid w:val="008E0CC3"/>
    <w:rsid w:val="008E1A58"/>
    <w:rsid w:val="008E1D5B"/>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9C1"/>
    <w:rsid w:val="00904FBC"/>
    <w:rsid w:val="00905AA1"/>
    <w:rsid w:val="00906033"/>
    <w:rsid w:val="0090627B"/>
    <w:rsid w:val="009062F8"/>
    <w:rsid w:val="0090786C"/>
    <w:rsid w:val="00907B9C"/>
    <w:rsid w:val="009102AA"/>
    <w:rsid w:val="00911297"/>
    <w:rsid w:val="00912644"/>
    <w:rsid w:val="00912888"/>
    <w:rsid w:val="009137B9"/>
    <w:rsid w:val="00914049"/>
    <w:rsid w:val="00916006"/>
    <w:rsid w:val="0091601B"/>
    <w:rsid w:val="009164D6"/>
    <w:rsid w:val="00917265"/>
    <w:rsid w:val="00920B9A"/>
    <w:rsid w:val="00920DE7"/>
    <w:rsid w:val="00921835"/>
    <w:rsid w:val="00921BDE"/>
    <w:rsid w:val="0092217A"/>
    <w:rsid w:val="009221D4"/>
    <w:rsid w:val="00922937"/>
    <w:rsid w:val="00922D85"/>
    <w:rsid w:val="00922E89"/>
    <w:rsid w:val="009240FC"/>
    <w:rsid w:val="00927E90"/>
    <w:rsid w:val="00930ECC"/>
    <w:rsid w:val="00931510"/>
    <w:rsid w:val="009316B5"/>
    <w:rsid w:val="009327E3"/>
    <w:rsid w:val="00932892"/>
    <w:rsid w:val="00932F17"/>
    <w:rsid w:val="0093315A"/>
    <w:rsid w:val="009338E3"/>
    <w:rsid w:val="00933D80"/>
    <w:rsid w:val="00934108"/>
    <w:rsid w:val="0093435C"/>
    <w:rsid w:val="00934C87"/>
    <w:rsid w:val="009350E1"/>
    <w:rsid w:val="009357D3"/>
    <w:rsid w:val="0094092A"/>
    <w:rsid w:val="009409AD"/>
    <w:rsid w:val="00940E5D"/>
    <w:rsid w:val="009412C5"/>
    <w:rsid w:val="0094167F"/>
    <w:rsid w:val="00941AF9"/>
    <w:rsid w:val="009432F1"/>
    <w:rsid w:val="009436B5"/>
    <w:rsid w:val="00944CEB"/>
    <w:rsid w:val="00944DB8"/>
    <w:rsid w:val="00944E7F"/>
    <w:rsid w:val="00946590"/>
    <w:rsid w:val="009506F1"/>
    <w:rsid w:val="00950787"/>
    <w:rsid w:val="00951640"/>
    <w:rsid w:val="009534C8"/>
    <w:rsid w:val="009543AB"/>
    <w:rsid w:val="00955464"/>
    <w:rsid w:val="0095564C"/>
    <w:rsid w:val="00955B5C"/>
    <w:rsid w:val="00955E45"/>
    <w:rsid w:val="009561D2"/>
    <w:rsid w:val="00956500"/>
    <w:rsid w:val="009607DE"/>
    <w:rsid w:val="009612C0"/>
    <w:rsid w:val="00964A53"/>
    <w:rsid w:val="00965191"/>
    <w:rsid w:val="00965FB0"/>
    <w:rsid w:val="00966BF6"/>
    <w:rsid w:val="00967006"/>
    <w:rsid w:val="00967616"/>
    <w:rsid w:val="00967C1B"/>
    <w:rsid w:val="00967D32"/>
    <w:rsid w:val="00971C15"/>
    <w:rsid w:val="00971C83"/>
    <w:rsid w:val="00972B62"/>
    <w:rsid w:val="009734C2"/>
    <w:rsid w:val="00973720"/>
    <w:rsid w:val="009746E6"/>
    <w:rsid w:val="0097487E"/>
    <w:rsid w:val="009750D7"/>
    <w:rsid w:val="00975109"/>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537"/>
    <w:rsid w:val="009A296F"/>
    <w:rsid w:val="009A2E1A"/>
    <w:rsid w:val="009A332C"/>
    <w:rsid w:val="009A341A"/>
    <w:rsid w:val="009A3944"/>
    <w:rsid w:val="009A3DC9"/>
    <w:rsid w:val="009A4855"/>
    <w:rsid w:val="009A4CE9"/>
    <w:rsid w:val="009A681E"/>
    <w:rsid w:val="009A7F1E"/>
    <w:rsid w:val="009B2252"/>
    <w:rsid w:val="009B2262"/>
    <w:rsid w:val="009B3163"/>
    <w:rsid w:val="009B6C68"/>
    <w:rsid w:val="009B716D"/>
    <w:rsid w:val="009B76F2"/>
    <w:rsid w:val="009C0C75"/>
    <w:rsid w:val="009C0F10"/>
    <w:rsid w:val="009C165B"/>
    <w:rsid w:val="009C2207"/>
    <w:rsid w:val="009C3D75"/>
    <w:rsid w:val="009C53E4"/>
    <w:rsid w:val="009C6B95"/>
    <w:rsid w:val="009C6E42"/>
    <w:rsid w:val="009C78A5"/>
    <w:rsid w:val="009D017F"/>
    <w:rsid w:val="009D0E7F"/>
    <w:rsid w:val="009D10F0"/>
    <w:rsid w:val="009D1B96"/>
    <w:rsid w:val="009D217B"/>
    <w:rsid w:val="009D51A4"/>
    <w:rsid w:val="009D58DF"/>
    <w:rsid w:val="009D5AFE"/>
    <w:rsid w:val="009E04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7A3"/>
    <w:rsid w:val="009F1D2D"/>
    <w:rsid w:val="009F21B3"/>
    <w:rsid w:val="009F2659"/>
    <w:rsid w:val="009F2A35"/>
    <w:rsid w:val="009F3C7E"/>
    <w:rsid w:val="009F6B67"/>
    <w:rsid w:val="00A00380"/>
    <w:rsid w:val="00A003BD"/>
    <w:rsid w:val="00A00D9E"/>
    <w:rsid w:val="00A01241"/>
    <w:rsid w:val="00A01456"/>
    <w:rsid w:val="00A024B1"/>
    <w:rsid w:val="00A025FE"/>
    <w:rsid w:val="00A02B3D"/>
    <w:rsid w:val="00A03661"/>
    <w:rsid w:val="00A03B1B"/>
    <w:rsid w:val="00A03E7B"/>
    <w:rsid w:val="00A04702"/>
    <w:rsid w:val="00A04D15"/>
    <w:rsid w:val="00A05C21"/>
    <w:rsid w:val="00A11FAB"/>
    <w:rsid w:val="00A12A95"/>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F49"/>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756"/>
    <w:rsid w:val="00A9588E"/>
    <w:rsid w:val="00A95F9A"/>
    <w:rsid w:val="00A9604E"/>
    <w:rsid w:val="00A96E99"/>
    <w:rsid w:val="00A9790B"/>
    <w:rsid w:val="00AA033B"/>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875"/>
    <w:rsid w:val="00AD3E6B"/>
    <w:rsid w:val="00AD50E7"/>
    <w:rsid w:val="00AD56E0"/>
    <w:rsid w:val="00AE27F5"/>
    <w:rsid w:val="00AE3254"/>
    <w:rsid w:val="00AE3F47"/>
    <w:rsid w:val="00AE3F8E"/>
    <w:rsid w:val="00AE4198"/>
    <w:rsid w:val="00AE5819"/>
    <w:rsid w:val="00AE5BE8"/>
    <w:rsid w:val="00AE7D76"/>
    <w:rsid w:val="00AF085E"/>
    <w:rsid w:val="00AF0E5E"/>
    <w:rsid w:val="00AF11A1"/>
    <w:rsid w:val="00AF1782"/>
    <w:rsid w:val="00AF1E50"/>
    <w:rsid w:val="00AF206B"/>
    <w:rsid w:val="00AF4498"/>
    <w:rsid w:val="00AF58B4"/>
    <w:rsid w:val="00AF7672"/>
    <w:rsid w:val="00AF7D82"/>
    <w:rsid w:val="00B008E3"/>
    <w:rsid w:val="00B010EF"/>
    <w:rsid w:val="00B01F38"/>
    <w:rsid w:val="00B02347"/>
    <w:rsid w:val="00B05879"/>
    <w:rsid w:val="00B05B5E"/>
    <w:rsid w:val="00B05E68"/>
    <w:rsid w:val="00B06139"/>
    <w:rsid w:val="00B069BB"/>
    <w:rsid w:val="00B10CBA"/>
    <w:rsid w:val="00B11AD8"/>
    <w:rsid w:val="00B1242B"/>
    <w:rsid w:val="00B13174"/>
    <w:rsid w:val="00B15193"/>
    <w:rsid w:val="00B16B6F"/>
    <w:rsid w:val="00B1743A"/>
    <w:rsid w:val="00B201AB"/>
    <w:rsid w:val="00B20F9D"/>
    <w:rsid w:val="00B21450"/>
    <w:rsid w:val="00B22435"/>
    <w:rsid w:val="00B22671"/>
    <w:rsid w:val="00B23517"/>
    <w:rsid w:val="00B23CAB"/>
    <w:rsid w:val="00B2438B"/>
    <w:rsid w:val="00B24795"/>
    <w:rsid w:val="00B252D8"/>
    <w:rsid w:val="00B25613"/>
    <w:rsid w:val="00B25707"/>
    <w:rsid w:val="00B25E56"/>
    <w:rsid w:val="00B26D0C"/>
    <w:rsid w:val="00B27C4B"/>
    <w:rsid w:val="00B27C94"/>
    <w:rsid w:val="00B27F00"/>
    <w:rsid w:val="00B27F8F"/>
    <w:rsid w:val="00B306E4"/>
    <w:rsid w:val="00B31D4F"/>
    <w:rsid w:val="00B3265A"/>
    <w:rsid w:val="00B332DD"/>
    <w:rsid w:val="00B33CC5"/>
    <w:rsid w:val="00B3453E"/>
    <w:rsid w:val="00B34FF0"/>
    <w:rsid w:val="00B35341"/>
    <w:rsid w:val="00B355A9"/>
    <w:rsid w:val="00B35C65"/>
    <w:rsid w:val="00B370AA"/>
    <w:rsid w:val="00B372A3"/>
    <w:rsid w:val="00B40BA6"/>
    <w:rsid w:val="00B41B75"/>
    <w:rsid w:val="00B41C2F"/>
    <w:rsid w:val="00B42DB2"/>
    <w:rsid w:val="00B444F4"/>
    <w:rsid w:val="00B455D8"/>
    <w:rsid w:val="00B471BA"/>
    <w:rsid w:val="00B506B9"/>
    <w:rsid w:val="00B5132B"/>
    <w:rsid w:val="00B5166F"/>
    <w:rsid w:val="00B528DD"/>
    <w:rsid w:val="00B53B85"/>
    <w:rsid w:val="00B53F79"/>
    <w:rsid w:val="00B55574"/>
    <w:rsid w:val="00B56D4F"/>
    <w:rsid w:val="00B600F0"/>
    <w:rsid w:val="00B60C58"/>
    <w:rsid w:val="00B60E76"/>
    <w:rsid w:val="00B60E81"/>
    <w:rsid w:val="00B610D5"/>
    <w:rsid w:val="00B61EE0"/>
    <w:rsid w:val="00B61FAF"/>
    <w:rsid w:val="00B626F9"/>
    <w:rsid w:val="00B62A76"/>
    <w:rsid w:val="00B631CB"/>
    <w:rsid w:val="00B634F6"/>
    <w:rsid w:val="00B63657"/>
    <w:rsid w:val="00B63A29"/>
    <w:rsid w:val="00B63E74"/>
    <w:rsid w:val="00B63F22"/>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7DC"/>
    <w:rsid w:val="00B855AD"/>
    <w:rsid w:val="00B86E53"/>
    <w:rsid w:val="00B87424"/>
    <w:rsid w:val="00B87744"/>
    <w:rsid w:val="00B87BC9"/>
    <w:rsid w:val="00B916BB"/>
    <w:rsid w:val="00B949BF"/>
    <w:rsid w:val="00B953E1"/>
    <w:rsid w:val="00B969A5"/>
    <w:rsid w:val="00BA0CF5"/>
    <w:rsid w:val="00BA43B4"/>
    <w:rsid w:val="00BA6E9B"/>
    <w:rsid w:val="00BA76CB"/>
    <w:rsid w:val="00BA7887"/>
    <w:rsid w:val="00BA7ABF"/>
    <w:rsid w:val="00BB022A"/>
    <w:rsid w:val="00BB03DD"/>
    <w:rsid w:val="00BB1F02"/>
    <w:rsid w:val="00BB27F1"/>
    <w:rsid w:val="00BB318A"/>
    <w:rsid w:val="00BB3C66"/>
    <w:rsid w:val="00BB4914"/>
    <w:rsid w:val="00BB58F0"/>
    <w:rsid w:val="00BB5B31"/>
    <w:rsid w:val="00BB5D83"/>
    <w:rsid w:val="00BB7F34"/>
    <w:rsid w:val="00BC04F9"/>
    <w:rsid w:val="00BC133D"/>
    <w:rsid w:val="00BC1FFE"/>
    <w:rsid w:val="00BC2058"/>
    <w:rsid w:val="00BC2F45"/>
    <w:rsid w:val="00BC323E"/>
    <w:rsid w:val="00BC4FE7"/>
    <w:rsid w:val="00BC51A5"/>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3450"/>
    <w:rsid w:val="00BF3F90"/>
    <w:rsid w:val="00BF4004"/>
    <w:rsid w:val="00BF4543"/>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383"/>
    <w:rsid w:val="00C22AB9"/>
    <w:rsid w:val="00C23158"/>
    <w:rsid w:val="00C23215"/>
    <w:rsid w:val="00C243F1"/>
    <w:rsid w:val="00C24FC2"/>
    <w:rsid w:val="00C26327"/>
    <w:rsid w:val="00C26DA0"/>
    <w:rsid w:val="00C27039"/>
    <w:rsid w:val="00C30293"/>
    <w:rsid w:val="00C30733"/>
    <w:rsid w:val="00C30B93"/>
    <w:rsid w:val="00C33201"/>
    <w:rsid w:val="00C33A6D"/>
    <w:rsid w:val="00C346AD"/>
    <w:rsid w:val="00C34A17"/>
    <w:rsid w:val="00C34C54"/>
    <w:rsid w:val="00C351D4"/>
    <w:rsid w:val="00C36314"/>
    <w:rsid w:val="00C37E7D"/>
    <w:rsid w:val="00C400C9"/>
    <w:rsid w:val="00C40AEC"/>
    <w:rsid w:val="00C40E6B"/>
    <w:rsid w:val="00C41261"/>
    <w:rsid w:val="00C4255D"/>
    <w:rsid w:val="00C42D79"/>
    <w:rsid w:val="00C450E7"/>
    <w:rsid w:val="00C45993"/>
    <w:rsid w:val="00C45C30"/>
    <w:rsid w:val="00C468E4"/>
    <w:rsid w:val="00C46BD6"/>
    <w:rsid w:val="00C46CDE"/>
    <w:rsid w:val="00C46E83"/>
    <w:rsid w:val="00C471FA"/>
    <w:rsid w:val="00C53450"/>
    <w:rsid w:val="00C538ED"/>
    <w:rsid w:val="00C5393E"/>
    <w:rsid w:val="00C53CA9"/>
    <w:rsid w:val="00C53CE5"/>
    <w:rsid w:val="00C552D8"/>
    <w:rsid w:val="00C56034"/>
    <w:rsid w:val="00C56905"/>
    <w:rsid w:val="00C57B60"/>
    <w:rsid w:val="00C57DB9"/>
    <w:rsid w:val="00C57E80"/>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E56"/>
    <w:rsid w:val="00C7413B"/>
    <w:rsid w:val="00C74342"/>
    <w:rsid w:val="00C746CB"/>
    <w:rsid w:val="00C75DE6"/>
    <w:rsid w:val="00C76180"/>
    <w:rsid w:val="00C76C3D"/>
    <w:rsid w:val="00C775D8"/>
    <w:rsid w:val="00C800F5"/>
    <w:rsid w:val="00C821B4"/>
    <w:rsid w:val="00C823D8"/>
    <w:rsid w:val="00C83B68"/>
    <w:rsid w:val="00C8401B"/>
    <w:rsid w:val="00C84A68"/>
    <w:rsid w:val="00C84F02"/>
    <w:rsid w:val="00C852E7"/>
    <w:rsid w:val="00C86212"/>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5D74"/>
    <w:rsid w:val="00C95F76"/>
    <w:rsid w:val="00C97568"/>
    <w:rsid w:val="00C97F95"/>
    <w:rsid w:val="00C97FC8"/>
    <w:rsid w:val="00CA2AA7"/>
    <w:rsid w:val="00CA2E8D"/>
    <w:rsid w:val="00CA4073"/>
    <w:rsid w:val="00CA4E7D"/>
    <w:rsid w:val="00CA547D"/>
    <w:rsid w:val="00CA5D8D"/>
    <w:rsid w:val="00CA609E"/>
    <w:rsid w:val="00CA66DA"/>
    <w:rsid w:val="00CA731D"/>
    <w:rsid w:val="00CB0C89"/>
    <w:rsid w:val="00CB1146"/>
    <w:rsid w:val="00CB270C"/>
    <w:rsid w:val="00CB30BF"/>
    <w:rsid w:val="00CB31F9"/>
    <w:rsid w:val="00CB46E3"/>
    <w:rsid w:val="00CB47CA"/>
    <w:rsid w:val="00CB7AC3"/>
    <w:rsid w:val="00CC1676"/>
    <w:rsid w:val="00CC1F63"/>
    <w:rsid w:val="00CC205E"/>
    <w:rsid w:val="00CC2BC9"/>
    <w:rsid w:val="00CC4A83"/>
    <w:rsid w:val="00CC5C69"/>
    <w:rsid w:val="00CD0450"/>
    <w:rsid w:val="00CD0B88"/>
    <w:rsid w:val="00CD12F8"/>
    <w:rsid w:val="00CD1678"/>
    <w:rsid w:val="00CD19FA"/>
    <w:rsid w:val="00CD2057"/>
    <w:rsid w:val="00CD2630"/>
    <w:rsid w:val="00CD2BEA"/>
    <w:rsid w:val="00CD3324"/>
    <w:rsid w:val="00CD3E18"/>
    <w:rsid w:val="00CD416E"/>
    <w:rsid w:val="00CD41DD"/>
    <w:rsid w:val="00CD6674"/>
    <w:rsid w:val="00CD7B40"/>
    <w:rsid w:val="00CE1363"/>
    <w:rsid w:val="00CE1747"/>
    <w:rsid w:val="00CE2C6F"/>
    <w:rsid w:val="00CE3929"/>
    <w:rsid w:val="00CE4935"/>
    <w:rsid w:val="00CE70F4"/>
    <w:rsid w:val="00CE7880"/>
    <w:rsid w:val="00CF1076"/>
    <w:rsid w:val="00CF108A"/>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3B2"/>
    <w:rsid w:val="00D132BB"/>
    <w:rsid w:val="00D141C4"/>
    <w:rsid w:val="00D14632"/>
    <w:rsid w:val="00D15490"/>
    <w:rsid w:val="00D15A0E"/>
    <w:rsid w:val="00D16318"/>
    <w:rsid w:val="00D16DC3"/>
    <w:rsid w:val="00D17121"/>
    <w:rsid w:val="00D175D5"/>
    <w:rsid w:val="00D17890"/>
    <w:rsid w:val="00D20315"/>
    <w:rsid w:val="00D22650"/>
    <w:rsid w:val="00D22809"/>
    <w:rsid w:val="00D22B8F"/>
    <w:rsid w:val="00D22FD6"/>
    <w:rsid w:val="00D23773"/>
    <w:rsid w:val="00D2386A"/>
    <w:rsid w:val="00D23DD6"/>
    <w:rsid w:val="00D23ECA"/>
    <w:rsid w:val="00D244CD"/>
    <w:rsid w:val="00D24C83"/>
    <w:rsid w:val="00D26A02"/>
    <w:rsid w:val="00D26B64"/>
    <w:rsid w:val="00D27418"/>
    <w:rsid w:val="00D30FE5"/>
    <w:rsid w:val="00D315EC"/>
    <w:rsid w:val="00D3196B"/>
    <w:rsid w:val="00D34C11"/>
    <w:rsid w:val="00D3559F"/>
    <w:rsid w:val="00D3583A"/>
    <w:rsid w:val="00D35CCD"/>
    <w:rsid w:val="00D373B4"/>
    <w:rsid w:val="00D3758F"/>
    <w:rsid w:val="00D375A7"/>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71EF"/>
    <w:rsid w:val="00D57F6A"/>
    <w:rsid w:val="00D6016A"/>
    <w:rsid w:val="00D6053F"/>
    <w:rsid w:val="00D611E1"/>
    <w:rsid w:val="00D62576"/>
    <w:rsid w:val="00D6419E"/>
    <w:rsid w:val="00D64B80"/>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906"/>
    <w:rsid w:val="00D86C0B"/>
    <w:rsid w:val="00D87BA4"/>
    <w:rsid w:val="00D90C02"/>
    <w:rsid w:val="00D914FD"/>
    <w:rsid w:val="00D920F4"/>
    <w:rsid w:val="00D9299E"/>
    <w:rsid w:val="00D93E80"/>
    <w:rsid w:val="00D94851"/>
    <w:rsid w:val="00D95341"/>
    <w:rsid w:val="00D95D2B"/>
    <w:rsid w:val="00D960C7"/>
    <w:rsid w:val="00D9729C"/>
    <w:rsid w:val="00D97542"/>
    <w:rsid w:val="00D97BD3"/>
    <w:rsid w:val="00DA13B1"/>
    <w:rsid w:val="00DA43F4"/>
    <w:rsid w:val="00DA5967"/>
    <w:rsid w:val="00DA5A4F"/>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2C9"/>
    <w:rsid w:val="00DC17EC"/>
    <w:rsid w:val="00DC1CA1"/>
    <w:rsid w:val="00DC1E55"/>
    <w:rsid w:val="00DC426E"/>
    <w:rsid w:val="00DC6183"/>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4E2"/>
    <w:rsid w:val="00DE0C60"/>
    <w:rsid w:val="00DE2683"/>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09C8"/>
    <w:rsid w:val="00E41EF4"/>
    <w:rsid w:val="00E426C0"/>
    <w:rsid w:val="00E43577"/>
    <w:rsid w:val="00E44366"/>
    <w:rsid w:val="00E46C7D"/>
    <w:rsid w:val="00E473CC"/>
    <w:rsid w:val="00E47E80"/>
    <w:rsid w:val="00E50784"/>
    <w:rsid w:val="00E50C21"/>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72B"/>
    <w:rsid w:val="00E71FAE"/>
    <w:rsid w:val="00E720D9"/>
    <w:rsid w:val="00E721E2"/>
    <w:rsid w:val="00E73D1A"/>
    <w:rsid w:val="00E7495C"/>
    <w:rsid w:val="00E74EE5"/>
    <w:rsid w:val="00E75F21"/>
    <w:rsid w:val="00E77B2A"/>
    <w:rsid w:val="00E77B59"/>
    <w:rsid w:val="00E802DC"/>
    <w:rsid w:val="00E8043C"/>
    <w:rsid w:val="00E82060"/>
    <w:rsid w:val="00E82160"/>
    <w:rsid w:val="00E8431A"/>
    <w:rsid w:val="00E84BE4"/>
    <w:rsid w:val="00E85B93"/>
    <w:rsid w:val="00E869FF"/>
    <w:rsid w:val="00E8756A"/>
    <w:rsid w:val="00E90C52"/>
    <w:rsid w:val="00E92818"/>
    <w:rsid w:val="00E930B7"/>
    <w:rsid w:val="00E93B08"/>
    <w:rsid w:val="00E942E6"/>
    <w:rsid w:val="00E96943"/>
    <w:rsid w:val="00E97364"/>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473A"/>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DF4"/>
    <w:rsid w:val="00ED1DFE"/>
    <w:rsid w:val="00ED3718"/>
    <w:rsid w:val="00ED3A70"/>
    <w:rsid w:val="00ED3D74"/>
    <w:rsid w:val="00ED445D"/>
    <w:rsid w:val="00ED4F48"/>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53FF"/>
    <w:rsid w:val="00EF64BF"/>
    <w:rsid w:val="00EF6564"/>
    <w:rsid w:val="00EF7369"/>
    <w:rsid w:val="00EF7400"/>
    <w:rsid w:val="00EF79F6"/>
    <w:rsid w:val="00EF7C74"/>
    <w:rsid w:val="00F01136"/>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14BA"/>
    <w:rsid w:val="00F31A51"/>
    <w:rsid w:val="00F32182"/>
    <w:rsid w:val="00F323AC"/>
    <w:rsid w:val="00F3265D"/>
    <w:rsid w:val="00F335F7"/>
    <w:rsid w:val="00F34335"/>
    <w:rsid w:val="00F3473C"/>
    <w:rsid w:val="00F34794"/>
    <w:rsid w:val="00F3635B"/>
    <w:rsid w:val="00F36ECF"/>
    <w:rsid w:val="00F3717D"/>
    <w:rsid w:val="00F37414"/>
    <w:rsid w:val="00F37507"/>
    <w:rsid w:val="00F40E6A"/>
    <w:rsid w:val="00F42FB9"/>
    <w:rsid w:val="00F43745"/>
    <w:rsid w:val="00F437A6"/>
    <w:rsid w:val="00F439A9"/>
    <w:rsid w:val="00F43DED"/>
    <w:rsid w:val="00F448F5"/>
    <w:rsid w:val="00F45214"/>
    <w:rsid w:val="00F45D93"/>
    <w:rsid w:val="00F4697A"/>
    <w:rsid w:val="00F46AE2"/>
    <w:rsid w:val="00F4762E"/>
    <w:rsid w:val="00F506F9"/>
    <w:rsid w:val="00F51608"/>
    <w:rsid w:val="00F52325"/>
    <w:rsid w:val="00F52CD4"/>
    <w:rsid w:val="00F564E0"/>
    <w:rsid w:val="00F56E00"/>
    <w:rsid w:val="00F576D1"/>
    <w:rsid w:val="00F57C8B"/>
    <w:rsid w:val="00F600F2"/>
    <w:rsid w:val="00F60369"/>
    <w:rsid w:val="00F607E5"/>
    <w:rsid w:val="00F60D62"/>
    <w:rsid w:val="00F60D81"/>
    <w:rsid w:val="00F61754"/>
    <w:rsid w:val="00F62140"/>
    <w:rsid w:val="00F62ABE"/>
    <w:rsid w:val="00F6477C"/>
    <w:rsid w:val="00F64CF5"/>
    <w:rsid w:val="00F65C59"/>
    <w:rsid w:val="00F6687B"/>
    <w:rsid w:val="00F66BD8"/>
    <w:rsid w:val="00F66C76"/>
    <w:rsid w:val="00F66EC4"/>
    <w:rsid w:val="00F67D45"/>
    <w:rsid w:val="00F70748"/>
    <w:rsid w:val="00F723D0"/>
    <w:rsid w:val="00F7280F"/>
    <w:rsid w:val="00F72BFF"/>
    <w:rsid w:val="00F749B6"/>
    <w:rsid w:val="00F77593"/>
    <w:rsid w:val="00F802DC"/>
    <w:rsid w:val="00F80697"/>
    <w:rsid w:val="00F818E5"/>
    <w:rsid w:val="00F818EA"/>
    <w:rsid w:val="00F81AC8"/>
    <w:rsid w:val="00F825E8"/>
    <w:rsid w:val="00F82844"/>
    <w:rsid w:val="00F82C75"/>
    <w:rsid w:val="00F84112"/>
    <w:rsid w:val="00F850FE"/>
    <w:rsid w:val="00F85AE0"/>
    <w:rsid w:val="00F85B7D"/>
    <w:rsid w:val="00F85BE9"/>
    <w:rsid w:val="00F87748"/>
    <w:rsid w:val="00F90679"/>
    <w:rsid w:val="00F91D55"/>
    <w:rsid w:val="00F922E7"/>
    <w:rsid w:val="00F92FC8"/>
    <w:rsid w:val="00F93CC6"/>
    <w:rsid w:val="00F94CCA"/>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30A2"/>
    <w:rsid w:val="00FC32E2"/>
    <w:rsid w:val="00FC3FA4"/>
    <w:rsid w:val="00FC4A26"/>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706"/>
    <w:rsid w:val="00FE6579"/>
    <w:rsid w:val="00FE70E2"/>
    <w:rsid w:val="00FF2E4E"/>
    <w:rsid w:val="00FF3635"/>
    <w:rsid w:val="00FF366B"/>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79002A-117F-4E9B-AA8B-E45F2EE2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2719801">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34656709">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3.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8E77-A5B0-425B-B68F-FD5682ED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9017</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Riepenkroger, Karen S [CNO]</cp:lastModifiedBy>
  <cp:revision>2</cp:revision>
  <cp:lastPrinted>2012-07-13T22:45:00Z</cp:lastPrinted>
  <dcterms:created xsi:type="dcterms:W3CDTF">2015-09-23T15:19:00Z</dcterms:created>
  <dcterms:modified xsi:type="dcterms:W3CDTF">2015-09-23T15:19:00Z</dcterms:modified>
</cp:coreProperties>
</file>